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D5F" w:rsidRDefault="00133D9E" w:rsidP="00C70060">
      <w:pPr>
        <w:pStyle w:val="Title"/>
        <w:sectPr w:rsidR="00AE1D5F" w:rsidSect="00CA23CD">
          <w:footerReference w:type="default" r:id="rId9"/>
          <w:headerReference w:type="first" r:id="rId10"/>
          <w:footerReference w:type="first" r:id="rId11"/>
          <w:pgSz w:w="11900" w:h="16840"/>
          <w:pgMar w:top="851" w:right="851" w:bottom="1474" w:left="851" w:header="289" w:footer="454" w:gutter="0"/>
          <w:cols w:space="708"/>
          <w:titlePg/>
          <w:docGrid w:linePitch="360"/>
        </w:sectPr>
      </w:pPr>
      <w:r>
        <w:rPr>
          <w:noProof/>
          <w:lang w:val="en-AU" w:eastAsia="en-AU"/>
        </w:rPr>
        <w:drawing>
          <wp:anchor distT="0" distB="0" distL="114300" distR="114300" simplePos="0" relativeHeight="251687936" behindDoc="0" locked="0" layoutInCell="1" allowOverlap="1" wp14:anchorId="12217FDD" wp14:editId="2A32F476">
            <wp:simplePos x="0" y="0"/>
            <wp:positionH relativeFrom="margin">
              <wp:posOffset>4011295</wp:posOffset>
            </wp:positionH>
            <wp:positionV relativeFrom="paragraph">
              <wp:posOffset>-10261187</wp:posOffset>
            </wp:positionV>
            <wp:extent cx="2529205" cy="1443355"/>
            <wp:effectExtent l="0" t="0" r="0" b="0"/>
            <wp:wrapNone/>
            <wp:docPr id="12" name="Picture 12" descr="Brand South Australia and Government of South Australia – Primary Industries and Regions SA" title="Brand South Australia and PI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Brand South Australia and Government of South Australia – Primary Industries and Regions SA" title="Brand South Australia and PIRSA"/>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529205" cy="1443355"/>
                    </a:xfrm>
                    <a:prstGeom prst="rect">
                      <a:avLst/>
                    </a:prstGeom>
                    <a:noFill/>
                    <a:ln>
                      <a:noFill/>
                    </a:ln>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Pr>
          <w:noProof/>
          <w:lang w:val="en-AU" w:eastAsia="en-AU"/>
        </w:rPr>
        <mc:AlternateContent>
          <mc:Choice Requires="wps">
            <w:drawing>
              <wp:anchor distT="0" distB="0" distL="114300" distR="114300" simplePos="0" relativeHeight="251684863" behindDoc="0" locked="0" layoutInCell="1" allowOverlap="1" wp14:anchorId="75E24F7F" wp14:editId="0610AF6E">
                <wp:simplePos x="0" y="0"/>
                <wp:positionH relativeFrom="margin">
                  <wp:posOffset>-351790</wp:posOffset>
                </wp:positionH>
                <wp:positionV relativeFrom="paragraph">
                  <wp:posOffset>-10521950</wp:posOffset>
                </wp:positionV>
                <wp:extent cx="7198360" cy="10366375"/>
                <wp:effectExtent l="0" t="0" r="2540" b="0"/>
                <wp:wrapNone/>
                <wp:docPr id="1" name="Rectangle 1"/>
                <wp:cNvGraphicFramePr/>
                <a:graphic xmlns:a="http://schemas.openxmlformats.org/drawingml/2006/main">
                  <a:graphicData uri="http://schemas.microsoft.com/office/word/2010/wordprocessingShape">
                    <wps:wsp>
                      <wps:cNvSpPr/>
                      <wps:spPr>
                        <a:xfrm>
                          <a:off x="0" y="0"/>
                          <a:ext cx="7198360" cy="10366375"/>
                        </a:xfrm>
                        <a:prstGeom prst="rect">
                          <a:avLst/>
                        </a:prstGeom>
                        <a:solidFill>
                          <a:srgbClr val="264378"/>
                        </a:solidFill>
                        <a:ln>
                          <a:noFill/>
                        </a:ln>
                        <a:effectLst/>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1444C118" id="Rectangle 1" o:spid="_x0000_s1026" style="position:absolute;margin-left:-27.7pt;margin-top:-828.5pt;width:566.8pt;height:816.25pt;z-index:251684863;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" fillcolor="#264378" stroked="f" strokeweight=".5pt">
                <w10:wrap anchorx="margin"/>
              </v:rect>
            </w:pict>
          </mc:Fallback>
        </mc:AlternateContent>
      </w:r>
      <w:r w:rsidR="00AE1D5F">
        <w:rPr>
          <w:rFonts w:cs="Arial"/>
          <w:noProof/>
          <w:sz w:val="48"/>
          <w:szCs w:val="48"/>
          <w:lang w:val="en-AU" w:eastAsia="en-AU"/>
        </w:rPr>
        <mc:AlternateContent>
          <mc:Choice Requires="wps">
            <w:drawing>
              <wp:anchor distT="0" distB="0" distL="114300" distR="114300" simplePos="0" relativeHeight="251685888" behindDoc="0" locked="1" layoutInCell="1" allowOverlap="1" wp14:anchorId="137EAD41" wp14:editId="7DC96463">
                <wp:simplePos x="0" y="0"/>
                <wp:positionH relativeFrom="page">
                  <wp:posOffset>701675</wp:posOffset>
                </wp:positionH>
                <wp:positionV relativeFrom="page">
                  <wp:posOffset>3888105</wp:posOffset>
                </wp:positionV>
                <wp:extent cx="6098540" cy="2578100"/>
                <wp:effectExtent l="0" t="0" r="10160" b="0"/>
                <wp:wrapNone/>
                <wp:docPr id="6" name="Text Box 6"/>
                <wp:cNvGraphicFramePr/>
                <a:graphic xmlns:a="http://schemas.openxmlformats.org/drawingml/2006/main">
                  <a:graphicData uri="http://schemas.microsoft.com/office/word/2010/wordprocessingShape">
                    <wps:wsp>
                      <wps:cNvSpPr txBox="1"/>
                      <wps:spPr>
                        <a:xfrm>
                          <a:off x="0" y="0"/>
                          <a:ext cx="6098540" cy="2578100"/>
                        </a:xfrm>
                        <a:prstGeom prst="rect">
                          <a:avLst/>
                        </a:prstGeom>
                        <a:noFill/>
                        <a:ln>
                          <a:noFill/>
                        </a:ln>
                        <a:effectLst/>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rsidR="0032253C" w:rsidRDefault="0032253C" w:rsidP="00732399">
                            <w:pPr>
                              <w:pStyle w:val="Title"/>
                              <w:rPr>
                                <w:color w:val="FFFFFF" w:themeColor="background1"/>
                                <w:sz w:val="52"/>
                                <w:szCs w:val="52"/>
                              </w:rPr>
                            </w:pPr>
                            <w:r>
                              <w:rPr>
                                <w:color w:val="FFFFFF" w:themeColor="background1"/>
                                <w:sz w:val="52"/>
                                <w:szCs w:val="52"/>
                              </w:rPr>
                              <w:t xml:space="preserve">Marine </w:t>
                            </w:r>
                            <w:proofErr w:type="spellStart"/>
                            <w:r>
                              <w:rPr>
                                <w:color w:val="FFFFFF" w:themeColor="background1"/>
                                <w:sz w:val="52"/>
                                <w:szCs w:val="52"/>
                              </w:rPr>
                              <w:t>Scalefish</w:t>
                            </w:r>
                            <w:proofErr w:type="spellEnd"/>
                            <w:r>
                              <w:rPr>
                                <w:color w:val="FFFFFF" w:themeColor="background1"/>
                                <w:sz w:val="52"/>
                                <w:szCs w:val="52"/>
                              </w:rPr>
                              <w:t xml:space="preserve"> Fishery Reform – Stage 2 information</w:t>
                            </w:r>
                          </w:p>
                          <w:p w:rsidR="0032253C" w:rsidRDefault="0032253C" w:rsidP="00732399">
                            <w:pPr>
                              <w:pStyle w:val="Division"/>
                              <w:rPr>
                                <w:sz w:val="36"/>
                                <w:szCs w:val="36"/>
                              </w:rPr>
                            </w:pPr>
                          </w:p>
                          <w:p w:rsidR="0032253C" w:rsidRDefault="0032253C" w:rsidP="00732399">
                            <w:pPr>
                              <w:pStyle w:val="Division"/>
                              <w:rPr>
                                <w:sz w:val="36"/>
                                <w:szCs w:val="36"/>
                              </w:rPr>
                            </w:pPr>
                            <w:r>
                              <w:rPr>
                                <w:sz w:val="36"/>
                                <w:szCs w:val="36"/>
                              </w:rPr>
                              <w:t>August 2020</w:t>
                            </w:r>
                          </w:p>
                          <w:p w:rsidR="0032253C" w:rsidRPr="00EB1449" w:rsidRDefault="0032253C" w:rsidP="00AE1D5F">
                            <w:pPr>
                              <w:pStyle w:val="Division"/>
                              <w:rPr>
                                <w:sz w:val="36"/>
                                <w:szCs w:val="3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7EAD41" id="_x0000_t202" coordsize="21600,21600" o:spt="202" path="m,l,21600r21600,l21600,xe">
                <v:stroke joinstyle="miter"/>
                <v:path gradientshapeok="t" o:connecttype="rect"/>
              </v:shapetype>
              <v:shape id="Text Box 6" o:spid="_x0000_s1026" type="#_x0000_t202" style="position:absolute;margin-left:55.25pt;margin-top:306.15pt;width:480.2pt;height:203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" filled="f" stroked="f">
                <v:textbox inset="0,0,0,0">
                  <w:txbxContent>
                    <w:p w:rsidR="0032253C" w:rsidRDefault="0032253C" w:rsidP="00732399">
                      <w:pPr>
                        <w:pStyle w:val="Title"/>
                        <w:rPr>
                          <w:color w:val="FFFFFF" w:themeColor="background1"/>
                          <w:sz w:val="52"/>
                          <w:szCs w:val="52"/>
                        </w:rPr>
                      </w:pPr>
                      <w:r>
                        <w:rPr>
                          <w:color w:val="FFFFFF" w:themeColor="background1"/>
                          <w:sz w:val="52"/>
                          <w:szCs w:val="52"/>
                        </w:rPr>
                        <w:t>Marine Scalefish Fishery Reform – Stage 2 information</w:t>
                      </w:r>
                    </w:p>
                    <w:p w:rsidR="0032253C" w:rsidRDefault="0032253C" w:rsidP="00732399">
                      <w:pPr>
                        <w:pStyle w:val="Division"/>
                        <w:rPr>
                          <w:sz w:val="36"/>
                          <w:szCs w:val="36"/>
                        </w:rPr>
                      </w:pPr>
                    </w:p>
                    <w:p w:rsidR="0032253C" w:rsidRDefault="0032253C" w:rsidP="00732399">
                      <w:pPr>
                        <w:pStyle w:val="Division"/>
                        <w:rPr>
                          <w:sz w:val="36"/>
                          <w:szCs w:val="36"/>
                        </w:rPr>
                      </w:pPr>
                      <w:r>
                        <w:rPr>
                          <w:sz w:val="36"/>
                          <w:szCs w:val="36"/>
                        </w:rPr>
                        <w:t>August 2020</w:t>
                      </w:r>
                    </w:p>
                    <w:p w:rsidR="0032253C" w:rsidRPr="00EB1449" w:rsidRDefault="0032253C" w:rsidP="00AE1D5F">
                      <w:pPr>
                        <w:pStyle w:val="Division"/>
                        <w:rPr>
                          <w:sz w:val="36"/>
                          <w:szCs w:val="36"/>
                        </w:rPr>
                      </w:pPr>
                    </w:p>
                  </w:txbxContent>
                </v:textbox>
                <w10:wrap anchorx="page" anchory="page"/>
                <w10:anchorlock/>
              </v:shape>
            </w:pict>
          </mc:Fallback>
        </mc:AlternateContent>
      </w:r>
    </w:p>
    <w:p w:rsidR="00AE1D5F" w:rsidRPr="008940C0" w:rsidRDefault="00AE1D5F" w:rsidP="00C70060">
      <w:pPr>
        <w:spacing w:after="480" w:line="520" w:lineRule="exact"/>
      </w:pPr>
      <w:r w:rsidRPr="000D0F86">
        <w:rPr>
          <w:rFonts w:cs="Times New Roman (Body CS)"/>
          <w:b/>
          <w:bCs/>
          <w:color w:val="00427A"/>
          <w:sz w:val="40"/>
          <w:szCs w:val="40"/>
        </w:rPr>
        <w:lastRenderedPageBreak/>
        <w:t>Contents</w:t>
      </w:r>
    </w:p>
    <w:sdt>
      <w:sdtPr>
        <w:rPr>
          <w:rFonts w:ascii="Arial" w:eastAsiaTheme="minorHAnsi" w:hAnsi="Arial" w:cstheme="minorBidi"/>
          <w:color w:val="auto"/>
          <w:sz w:val="22"/>
          <w:szCs w:val="24"/>
          <w:lang w:val="en-AU"/>
        </w:rPr>
        <w:id w:val="560071935"/>
        <w:docPartObj>
          <w:docPartGallery w:val="Table of Contents"/>
          <w:docPartUnique/>
        </w:docPartObj>
      </w:sdtPr>
      <w:sdtEndPr/>
      <w:sdtContent>
        <w:p w:rsidR="008B051C" w:rsidRPr="00732399" w:rsidRDefault="008B051C" w:rsidP="00C70060">
          <w:pPr>
            <w:pStyle w:val="TOCHeading"/>
            <w:rPr>
              <w:sz w:val="2"/>
            </w:rPr>
          </w:pPr>
        </w:p>
        <w:p w:rsidR="009B3F51" w:rsidRDefault="008B051C">
          <w:pPr>
            <w:pStyle w:val="TOC1"/>
            <w:rPr>
              <w:rFonts w:asciiTheme="minorHAnsi" w:eastAsiaTheme="minorEastAsia" w:hAnsiTheme="minorHAnsi" w:cstheme="minorBidi"/>
              <w:color w:val="auto"/>
              <w:sz w:val="22"/>
              <w:szCs w:val="22"/>
              <w:lang w:eastAsia="en-AU"/>
            </w:rPr>
          </w:pPr>
          <w:r>
            <w:fldChar w:fldCharType="begin"/>
          </w:r>
          <w:r>
            <w:instrText xml:space="preserve"> TOC \o "1-3" \h \z \u </w:instrText>
          </w:r>
          <w:r>
            <w:fldChar w:fldCharType="separate"/>
          </w:r>
          <w:hyperlink w:anchor="_Toc48141134" w:history="1">
            <w:r w:rsidR="009B3F51" w:rsidRPr="00921302">
              <w:rPr>
                <w:rStyle w:val="Hyperlink"/>
              </w:rPr>
              <w:t>Aim</w:t>
            </w:r>
            <w:r w:rsidR="009B3F51">
              <w:rPr>
                <w:webHidden/>
              </w:rPr>
              <w:tab/>
            </w:r>
            <w:r w:rsidR="009B3F51">
              <w:rPr>
                <w:webHidden/>
              </w:rPr>
              <w:fldChar w:fldCharType="begin"/>
            </w:r>
            <w:r w:rsidR="009B3F51">
              <w:rPr>
                <w:webHidden/>
              </w:rPr>
              <w:instrText xml:space="preserve"> PAGEREF _Toc48141134 \h </w:instrText>
            </w:r>
            <w:r w:rsidR="009B3F51">
              <w:rPr>
                <w:webHidden/>
              </w:rPr>
            </w:r>
            <w:r w:rsidR="009B3F51">
              <w:rPr>
                <w:webHidden/>
              </w:rPr>
              <w:fldChar w:fldCharType="separate"/>
            </w:r>
            <w:r w:rsidR="00A71297">
              <w:rPr>
                <w:webHidden/>
              </w:rPr>
              <w:t>3</w:t>
            </w:r>
            <w:r w:rsidR="009B3F51">
              <w:rPr>
                <w:webHidden/>
              </w:rPr>
              <w:fldChar w:fldCharType="end"/>
            </w:r>
          </w:hyperlink>
        </w:p>
        <w:p w:rsidR="009B3F51" w:rsidRDefault="003C07AB">
          <w:pPr>
            <w:pStyle w:val="TOC1"/>
            <w:rPr>
              <w:rFonts w:asciiTheme="minorHAnsi" w:eastAsiaTheme="minorEastAsia" w:hAnsiTheme="minorHAnsi" w:cstheme="minorBidi"/>
              <w:color w:val="auto"/>
              <w:sz w:val="22"/>
              <w:szCs w:val="22"/>
              <w:lang w:eastAsia="en-AU"/>
            </w:rPr>
          </w:pPr>
          <w:hyperlink w:anchor="_Toc48141135" w:history="1">
            <w:r w:rsidR="009B3F51" w:rsidRPr="00921302">
              <w:rPr>
                <w:rStyle w:val="Hyperlink"/>
              </w:rPr>
              <w:t>Update on Voluntary Licence Surrender Program</w:t>
            </w:r>
            <w:r w:rsidR="009B3F51">
              <w:rPr>
                <w:webHidden/>
              </w:rPr>
              <w:tab/>
            </w:r>
            <w:r w:rsidR="009B3F51">
              <w:rPr>
                <w:webHidden/>
              </w:rPr>
              <w:fldChar w:fldCharType="begin"/>
            </w:r>
            <w:r w:rsidR="009B3F51">
              <w:rPr>
                <w:webHidden/>
              </w:rPr>
              <w:instrText xml:space="preserve"> PAGEREF _Toc48141135 \h </w:instrText>
            </w:r>
            <w:r w:rsidR="009B3F51">
              <w:rPr>
                <w:webHidden/>
              </w:rPr>
            </w:r>
            <w:r w:rsidR="009B3F51">
              <w:rPr>
                <w:webHidden/>
              </w:rPr>
              <w:fldChar w:fldCharType="separate"/>
            </w:r>
            <w:r w:rsidR="00A71297">
              <w:rPr>
                <w:webHidden/>
              </w:rPr>
              <w:t>3</w:t>
            </w:r>
            <w:r w:rsidR="009B3F51">
              <w:rPr>
                <w:webHidden/>
              </w:rPr>
              <w:fldChar w:fldCharType="end"/>
            </w:r>
          </w:hyperlink>
        </w:p>
        <w:p w:rsidR="009B3F51" w:rsidRDefault="003C07AB">
          <w:pPr>
            <w:pStyle w:val="TOC1"/>
            <w:rPr>
              <w:rFonts w:asciiTheme="minorHAnsi" w:eastAsiaTheme="minorEastAsia" w:hAnsiTheme="minorHAnsi" w:cstheme="minorBidi"/>
              <w:color w:val="auto"/>
              <w:sz w:val="22"/>
              <w:szCs w:val="22"/>
              <w:lang w:eastAsia="en-AU"/>
            </w:rPr>
          </w:pPr>
          <w:hyperlink w:anchor="_Toc48141136" w:history="1">
            <w:r w:rsidR="009B3F51" w:rsidRPr="00921302">
              <w:rPr>
                <w:rStyle w:val="Hyperlink"/>
              </w:rPr>
              <w:t>Report of the Independent Allocation Advisory Panel</w:t>
            </w:r>
            <w:r w:rsidR="009B3F51">
              <w:rPr>
                <w:webHidden/>
              </w:rPr>
              <w:tab/>
            </w:r>
            <w:r w:rsidR="009B3F51">
              <w:rPr>
                <w:webHidden/>
              </w:rPr>
              <w:fldChar w:fldCharType="begin"/>
            </w:r>
            <w:r w:rsidR="009B3F51">
              <w:rPr>
                <w:webHidden/>
              </w:rPr>
              <w:instrText xml:space="preserve"> PAGEREF _Toc48141136 \h </w:instrText>
            </w:r>
            <w:r w:rsidR="009B3F51">
              <w:rPr>
                <w:webHidden/>
              </w:rPr>
            </w:r>
            <w:r w:rsidR="009B3F51">
              <w:rPr>
                <w:webHidden/>
              </w:rPr>
              <w:fldChar w:fldCharType="separate"/>
            </w:r>
            <w:r w:rsidR="00A71297">
              <w:rPr>
                <w:webHidden/>
              </w:rPr>
              <w:t>4</w:t>
            </w:r>
            <w:r w:rsidR="009B3F51">
              <w:rPr>
                <w:webHidden/>
              </w:rPr>
              <w:fldChar w:fldCharType="end"/>
            </w:r>
          </w:hyperlink>
        </w:p>
        <w:p w:rsidR="009B3F51" w:rsidRDefault="003C07AB">
          <w:pPr>
            <w:pStyle w:val="TOC2"/>
            <w:rPr>
              <w:rFonts w:asciiTheme="minorHAnsi" w:eastAsiaTheme="minorEastAsia" w:hAnsiTheme="minorHAnsi"/>
              <w:noProof/>
              <w:szCs w:val="22"/>
              <w:lang w:eastAsia="en-AU"/>
            </w:rPr>
          </w:pPr>
          <w:hyperlink w:anchor="_Toc48141137" w:history="1">
            <w:r w:rsidR="009B3F51" w:rsidRPr="00921302">
              <w:rPr>
                <w:rStyle w:val="Hyperlink"/>
                <w:noProof/>
              </w:rPr>
              <w:t>Recommendations</w:t>
            </w:r>
            <w:r w:rsidR="009B3F51">
              <w:rPr>
                <w:noProof/>
                <w:webHidden/>
              </w:rPr>
              <w:tab/>
            </w:r>
            <w:r w:rsidR="009B3F51">
              <w:rPr>
                <w:noProof/>
                <w:webHidden/>
              </w:rPr>
              <w:fldChar w:fldCharType="begin"/>
            </w:r>
            <w:r w:rsidR="009B3F51">
              <w:rPr>
                <w:noProof/>
                <w:webHidden/>
              </w:rPr>
              <w:instrText xml:space="preserve"> PAGEREF _Toc48141137 \h </w:instrText>
            </w:r>
            <w:r w:rsidR="009B3F51">
              <w:rPr>
                <w:noProof/>
                <w:webHidden/>
              </w:rPr>
            </w:r>
            <w:r w:rsidR="009B3F51">
              <w:rPr>
                <w:noProof/>
                <w:webHidden/>
              </w:rPr>
              <w:fldChar w:fldCharType="separate"/>
            </w:r>
            <w:r w:rsidR="00A71297">
              <w:rPr>
                <w:noProof/>
                <w:webHidden/>
              </w:rPr>
              <w:t>4</w:t>
            </w:r>
            <w:r w:rsidR="009B3F51">
              <w:rPr>
                <w:noProof/>
                <w:webHidden/>
              </w:rPr>
              <w:fldChar w:fldCharType="end"/>
            </w:r>
          </w:hyperlink>
        </w:p>
        <w:p w:rsidR="009B3F51" w:rsidRDefault="003C07AB">
          <w:pPr>
            <w:pStyle w:val="TOC2"/>
            <w:rPr>
              <w:rFonts w:asciiTheme="minorHAnsi" w:eastAsiaTheme="minorEastAsia" w:hAnsiTheme="minorHAnsi"/>
              <w:noProof/>
              <w:szCs w:val="22"/>
              <w:lang w:eastAsia="en-AU"/>
            </w:rPr>
          </w:pPr>
          <w:hyperlink w:anchor="_Toc48141138" w:history="1">
            <w:r w:rsidR="009B3F51" w:rsidRPr="00921302">
              <w:rPr>
                <w:rStyle w:val="Hyperlink"/>
                <w:noProof/>
              </w:rPr>
              <w:t>Points of clarification</w:t>
            </w:r>
            <w:r w:rsidR="009B3F51">
              <w:rPr>
                <w:noProof/>
                <w:webHidden/>
              </w:rPr>
              <w:tab/>
            </w:r>
            <w:r w:rsidR="009B3F51">
              <w:rPr>
                <w:noProof/>
                <w:webHidden/>
              </w:rPr>
              <w:fldChar w:fldCharType="begin"/>
            </w:r>
            <w:r w:rsidR="009B3F51">
              <w:rPr>
                <w:noProof/>
                <w:webHidden/>
              </w:rPr>
              <w:instrText xml:space="preserve"> PAGEREF _Toc48141138 \h </w:instrText>
            </w:r>
            <w:r w:rsidR="009B3F51">
              <w:rPr>
                <w:noProof/>
                <w:webHidden/>
              </w:rPr>
            </w:r>
            <w:r w:rsidR="009B3F51">
              <w:rPr>
                <w:noProof/>
                <w:webHidden/>
              </w:rPr>
              <w:fldChar w:fldCharType="separate"/>
            </w:r>
            <w:r w:rsidR="00A71297">
              <w:rPr>
                <w:noProof/>
                <w:webHidden/>
              </w:rPr>
              <w:t>5</w:t>
            </w:r>
            <w:r w:rsidR="009B3F51">
              <w:rPr>
                <w:noProof/>
                <w:webHidden/>
              </w:rPr>
              <w:fldChar w:fldCharType="end"/>
            </w:r>
          </w:hyperlink>
        </w:p>
        <w:p w:rsidR="009B3F51" w:rsidRDefault="003C07AB">
          <w:pPr>
            <w:pStyle w:val="TOC2"/>
            <w:rPr>
              <w:rFonts w:asciiTheme="minorHAnsi" w:eastAsiaTheme="minorEastAsia" w:hAnsiTheme="minorHAnsi"/>
              <w:noProof/>
              <w:szCs w:val="22"/>
              <w:lang w:eastAsia="en-AU"/>
            </w:rPr>
          </w:pPr>
          <w:hyperlink w:anchor="_Toc48141139" w:history="1">
            <w:r w:rsidR="009B3F51" w:rsidRPr="00921302">
              <w:rPr>
                <w:rStyle w:val="Hyperlink"/>
                <w:noProof/>
              </w:rPr>
              <w:t>Indicative allocations to licence holders</w:t>
            </w:r>
            <w:r w:rsidR="009B3F51">
              <w:rPr>
                <w:noProof/>
                <w:webHidden/>
              </w:rPr>
              <w:tab/>
            </w:r>
            <w:r w:rsidR="009B3F51">
              <w:rPr>
                <w:noProof/>
                <w:webHidden/>
              </w:rPr>
              <w:fldChar w:fldCharType="begin"/>
            </w:r>
            <w:r w:rsidR="009B3F51">
              <w:rPr>
                <w:noProof/>
                <w:webHidden/>
              </w:rPr>
              <w:instrText xml:space="preserve"> PAGEREF _Toc48141139 \h </w:instrText>
            </w:r>
            <w:r w:rsidR="009B3F51">
              <w:rPr>
                <w:noProof/>
                <w:webHidden/>
              </w:rPr>
            </w:r>
            <w:r w:rsidR="009B3F51">
              <w:rPr>
                <w:noProof/>
                <w:webHidden/>
              </w:rPr>
              <w:fldChar w:fldCharType="separate"/>
            </w:r>
            <w:r w:rsidR="00A71297">
              <w:rPr>
                <w:noProof/>
                <w:webHidden/>
              </w:rPr>
              <w:t>6</w:t>
            </w:r>
            <w:r w:rsidR="009B3F51">
              <w:rPr>
                <w:noProof/>
                <w:webHidden/>
              </w:rPr>
              <w:fldChar w:fldCharType="end"/>
            </w:r>
          </w:hyperlink>
        </w:p>
        <w:p w:rsidR="009B3F51" w:rsidRDefault="003C07AB">
          <w:pPr>
            <w:pStyle w:val="TOC1"/>
            <w:rPr>
              <w:rFonts w:asciiTheme="minorHAnsi" w:eastAsiaTheme="minorEastAsia" w:hAnsiTheme="minorHAnsi" w:cstheme="minorBidi"/>
              <w:color w:val="auto"/>
              <w:sz w:val="22"/>
              <w:szCs w:val="22"/>
              <w:lang w:eastAsia="en-AU"/>
            </w:rPr>
          </w:pPr>
          <w:hyperlink w:anchor="_Toc48141140" w:history="1">
            <w:r w:rsidR="009B3F51" w:rsidRPr="00921302">
              <w:rPr>
                <w:rStyle w:val="Hyperlink"/>
              </w:rPr>
              <w:t>Compliance program</w:t>
            </w:r>
            <w:r w:rsidR="009B3F51">
              <w:rPr>
                <w:webHidden/>
              </w:rPr>
              <w:tab/>
            </w:r>
            <w:r w:rsidR="009B3F51">
              <w:rPr>
                <w:webHidden/>
              </w:rPr>
              <w:fldChar w:fldCharType="begin"/>
            </w:r>
            <w:r w:rsidR="009B3F51">
              <w:rPr>
                <w:webHidden/>
              </w:rPr>
              <w:instrText xml:space="preserve"> PAGEREF _Toc48141140 \h </w:instrText>
            </w:r>
            <w:r w:rsidR="009B3F51">
              <w:rPr>
                <w:webHidden/>
              </w:rPr>
            </w:r>
            <w:r w:rsidR="009B3F51">
              <w:rPr>
                <w:webHidden/>
              </w:rPr>
              <w:fldChar w:fldCharType="separate"/>
            </w:r>
            <w:r w:rsidR="00A71297">
              <w:rPr>
                <w:webHidden/>
              </w:rPr>
              <w:t>6</w:t>
            </w:r>
            <w:r w:rsidR="009B3F51">
              <w:rPr>
                <w:webHidden/>
              </w:rPr>
              <w:fldChar w:fldCharType="end"/>
            </w:r>
          </w:hyperlink>
        </w:p>
        <w:p w:rsidR="009B3F51" w:rsidRDefault="003C07AB">
          <w:pPr>
            <w:pStyle w:val="TOC1"/>
            <w:rPr>
              <w:rFonts w:asciiTheme="minorHAnsi" w:eastAsiaTheme="minorEastAsia" w:hAnsiTheme="minorHAnsi" w:cstheme="minorBidi"/>
              <w:color w:val="auto"/>
              <w:sz w:val="22"/>
              <w:szCs w:val="22"/>
              <w:lang w:eastAsia="en-AU"/>
            </w:rPr>
          </w:pPr>
          <w:hyperlink w:anchor="_Toc48141141" w:history="1">
            <w:r w:rsidR="009B3F51" w:rsidRPr="00921302">
              <w:rPr>
                <w:rStyle w:val="Hyperlink"/>
              </w:rPr>
              <w:t>Scientific stock assessment and monitoring program</w:t>
            </w:r>
            <w:r w:rsidR="009B3F51">
              <w:rPr>
                <w:webHidden/>
              </w:rPr>
              <w:tab/>
            </w:r>
            <w:r w:rsidR="009B3F51">
              <w:rPr>
                <w:webHidden/>
              </w:rPr>
              <w:fldChar w:fldCharType="begin"/>
            </w:r>
            <w:r w:rsidR="009B3F51">
              <w:rPr>
                <w:webHidden/>
              </w:rPr>
              <w:instrText xml:space="preserve"> PAGEREF _Toc48141141 \h </w:instrText>
            </w:r>
            <w:r w:rsidR="009B3F51">
              <w:rPr>
                <w:webHidden/>
              </w:rPr>
            </w:r>
            <w:r w:rsidR="009B3F51">
              <w:rPr>
                <w:webHidden/>
              </w:rPr>
              <w:fldChar w:fldCharType="separate"/>
            </w:r>
            <w:r w:rsidR="00A71297">
              <w:rPr>
                <w:webHidden/>
              </w:rPr>
              <w:t>7</w:t>
            </w:r>
            <w:r w:rsidR="009B3F51">
              <w:rPr>
                <w:webHidden/>
              </w:rPr>
              <w:fldChar w:fldCharType="end"/>
            </w:r>
          </w:hyperlink>
        </w:p>
        <w:p w:rsidR="009B3F51" w:rsidRDefault="003C07AB">
          <w:pPr>
            <w:pStyle w:val="TOC1"/>
            <w:rPr>
              <w:rFonts w:asciiTheme="minorHAnsi" w:eastAsiaTheme="minorEastAsia" w:hAnsiTheme="minorHAnsi" w:cstheme="minorBidi"/>
              <w:color w:val="auto"/>
              <w:sz w:val="22"/>
              <w:szCs w:val="22"/>
              <w:lang w:eastAsia="en-AU"/>
            </w:rPr>
          </w:pPr>
          <w:hyperlink w:anchor="_Toc48141142" w:history="1">
            <w:r w:rsidR="009B3F51" w:rsidRPr="00921302">
              <w:rPr>
                <w:rStyle w:val="Hyperlink"/>
              </w:rPr>
              <w:t>Co-management</w:t>
            </w:r>
            <w:r w:rsidR="009B3F51">
              <w:rPr>
                <w:webHidden/>
              </w:rPr>
              <w:tab/>
            </w:r>
            <w:r w:rsidR="009B3F51">
              <w:rPr>
                <w:webHidden/>
              </w:rPr>
              <w:fldChar w:fldCharType="begin"/>
            </w:r>
            <w:r w:rsidR="009B3F51">
              <w:rPr>
                <w:webHidden/>
              </w:rPr>
              <w:instrText xml:space="preserve"> PAGEREF _Toc48141142 \h </w:instrText>
            </w:r>
            <w:r w:rsidR="009B3F51">
              <w:rPr>
                <w:webHidden/>
              </w:rPr>
            </w:r>
            <w:r w:rsidR="009B3F51">
              <w:rPr>
                <w:webHidden/>
              </w:rPr>
              <w:fldChar w:fldCharType="separate"/>
            </w:r>
            <w:r w:rsidR="00A71297">
              <w:rPr>
                <w:webHidden/>
              </w:rPr>
              <w:t>9</w:t>
            </w:r>
            <w:r w:rsidR="009B3F51">
              <w:rPr>
                <w:webHidden/>
              </w:rPr>
              <w:fldChar w:fldCharType="end"/>
            </w:r>
          </w:hyperlink>
        </w:p>
        <w:p w:rsidR="009B3F51" w:rsidRDefault="003C07AB">
          <w:pPr>
            <w:pStyle w:val="TOC1"/>
            <w:rPr>
              <w:rFonts w:asciiTheme="minorHAnsi" w:eastAsiaTheme="minorEastAsia" w:hAnsiTheme="minorHAnsi" w:cstheme="minorBidi"/>
              <w:color w:val="auto"/>
              <w:sz w:val="22"/>
              <w:szCs w:val="22"/>
              <w:lang w:eastAsia="en-AU"/>
            </w:rPr>
          </w:pPr>
          <w:hyperlink w:anchor="_Toc48141143" w:history="1">
            <w:r w:rsidR="009B3F51" w:rsidRPr="00921302">
              <w:rPr>
                <w:rStyle w:val="Hyperlink"/>
              </w:rPr>
              <w:t>Tiered management framework</w:t>
            </w:r>
            <w:r w:rsidR="009B3F51">
              <w:rPr>
                <w:webHidden/>
              </w:rPr>
              <w:tab/>
            </w:r>
            <w:r w:rsidR="009B3F51">
              <w:rPr>
                <w:webHidden/>
              </w:rPr>
              <w:fldChar w:fldCharType="begin"/>
            </w:r>
            <w:r w:rsidR="009B3F51">
              <w:rPr>
                <w:webHidden/>
              </w:rPr>
              <w:instrText xml:space="preserve"> PAGEREF _Toc48141143 \h </w:instrText>
            </w:r>
            <w:r w:rsidR="009B3F51">
              <w:rPr>
                <w:webHidden/>
              </w:rPr>
            </w:r>
            <w:r w:rsidR="009B3F51">
              <w:rPr>
                <w:webHidden/>
              </w:rPr>
              <w:fldChar w:fldCharType="separate"/>
            </w:r>
            <w:r w:rsidR="00A71297">
              <w:rPr>
                <w:webHidden/>
              </w:rPr>
              <w:t>10</w:t>
            </w:r>
            <w:r w:rsidR="009B3F51">
              <w:rPr>
                <w:webHidden/>
              </w:rPr>
              <w:fldChar w:fldCharType="end"/>
            </w:r>
          </w:hyperlink>
        </w:p>
        <w:p w:rsidR="009B3F51" w:rsidRDefault="003C07AB">
          <w:pPr>
            <w:pStyle w:val="TOC1"/>
            <w:rPr>
              <w:rFonts w:asciiTheme="minorHAnsi" w:eastAsiaTheme="minorEastAsia" w:hAnsiTheme="minorHAnsi" w:cstheme="minorBidi"/>
              <w:color w:val="auto"/>
              <w:sz w:val="22"/>
              <w:szCs w:val="22"/>
              <w:lang w:eastAsia="en-AU"/>
            </w:rPr>
          </w:pPr>
          <w:hyperlink w:anchor="_Toc48141144" w:history="1">
            <w:r w:rsidR="009B3F51" w:rsidRPr="00921302">
              <w:rPr>
                <w:rStyle w:val="Hyperlink"/>
              </w:rPr>
              <w:t>Red tape reduction</w:t>
            </w:r>
            <w:r w:rsidR="009B3F51">
              <w:rPr>
                <w:webHidden/>
              </w:rPr>
              <w:tab/>
            </w:r>
            <w:r w:rsidR="009B3F51">
              <w:rPr>
                <w:webHidden/>
              </w:rPr>
              <w:fldChar w:fldCharType="begin"/>
            </w:r>
            <w:r w:rsidR="009B3F51">
              <w:rPr>
                <w:webHidden/>
              </w:rPr>
              <w:instrText xml:space="preserve"> PAGEREF _Toc48141144 \h </w:instrText>
            </w:r>
            <w:r w:rsidR="009B3F51">
              <w:rPr>
                <w:webHidden/>
              </w:rPr>
            </w:r>
            <w:r w:rsidR="009B3F51">
              <w:rPr>
                <w:webHidden/>
              </w:rPr>
              <w:fldChar w:fldCharType="separate"/>
            </w:r>
            <w:r w:rsidR="00A71297">
              <w:rPr>
                <w:webHidden/>
              </w:rPr>
              <w:t>10</w:t>
            </w:r>
            <w:r w:rsidR="009B3F51">
              <w:rPr>
                <w:webHidden/>
              </w:rPr>
              <w:fldChar w:fldCharType="end"/>
            </w:r>
          </w:hyperlink>
        </w:p>
        <w:p w:rsidR="009B3F51" w:rsidRDefault="003C07AB">
          <w:pPr>
            <w:pStyle w:val="TOC1"/>
            <w:rPr>
              <w:rFonts w:asciiTheme="minorHAnsi" w:eastAsiaTheme="minorEastAsia" w:hAnsiTheme="minorHAnsi" w:cstheme="minorBidi"/>
              <w:color w:val="auto"/>
              <w:sz w:val="22"/>
              <w:szCs w:val="22"/>
              <w:lang w:eastAsia="en-AU"/>
            </w:rPr>
          </w:pPr>
          <w:hyperlink w:anchor="_Toc48141145" w:history="1">
            <w:r w:rsidR="009B3F51" w:rsidRPr="00921302">
              <w:rPr>
                <w:rStyle w:val="Hyperlink"/>
              </w:rPr>
              <w:t>Other key questions regarding management of the reformed MSF</w:t>
            </w:r>
            <w:r w:rsidR="009B3F51">
              <w:rPr>
                <w:webHidden/>
              </w:rPr>
              <w:tab/>
            </w:r>
            <w:r w:rsidR="009B3F51">
              <w:rPr>
                <w:webHidden/>
              </w:rPr>
              <w:fldChar w:fldCharType="begin"/>
            </w:r>
            <w:r w:rsidR="009B3F51">
              <w:rPr>
                <w:webHidden/>
              </w:rPr>
              <w:instrText xml:space="preserve"> PAGEREF _Toc48141145 \h </w:instrText>
            </w:r>
            <w:r w:rsidR="009B3F51">
              <w:rPr>
                <w:webHidden/>
              </w:rPr>
            </w:r>
            <w:r w:rsidR="009B3F51">
              <w:rPr>
                <w:webHidden/>
              </w:rPr>
              <w:fldChar w:fldCharType="separate"/>
            </w:r>
            <w:r w:rsidR="00A71297">
              <w:rPr>
                <w:webHidden/>
              </w:rPr>
              <w:t>11</w:t>
            </w:r>
            <w:r w:rsidR="009B3F51">
              <w:rPr>
                <w:webHidden/>
              </w:rPr>
              <w:fldChar w:fldCharType="end"/>
            </w:r>
          </w:hyperlink>
        </w:p>
        <w:p w:rsidR="009B3F51" w:rsidRDefault="003C07AB">
          <w:pPr>
            <w:pStyle w:val="TOC2"/>
            <w:rPr>
              <w:rFonts w:asciiTheme="minorHAnsi" w:eastAsiaTheme="minorEastAsia" w:hAnsiTheme="minorHAnsi"/>
              <w:noProof/>
              <w:szCs w:val="22"/>
              <w:lang w:eastAsia="en-AU"/>
            </w:rPr>
          </w:pPr>
          <w:hyperlink w:anchor="_Toc48141146" w:history="1">
            <w:r w:rsidR="009B3F51" w:rsidRPr="00921302">
              <w:rPr>
                <w:rStyle w:val="Hyperlink"/>
                <w:noProof/>
              </w:rPr>
              <w:t>‘Owner operator’ arrangements</w:t>
            </w:r>
            <w:r w:rsidR="009B3F51">
              <w:rPr>
                <w:noProof/>
                <w:webHidden/>
              </w:rPr>
              <w:tab/>
            </w:r>
            <w:r w:rsidR="009B3F51">
              <w:rPr>
                <w:noProof/>
                <w:webHidden/>
              </w:rPr>
              <w:fldChar w:fldCharType="begin"/>
            </w:r>
            <w:r w:rsidR="009B3F51">
              <w:rPr>
                <w:noProof/>
                <w:webHidden/>
              </w:rPr>
              <w:instrText xml:space="preserve"> PAGEREF _Toc48141146 \h </w:instrText>
            </w:r>
            <w:r w:rsidR="009B3F51">
              <w:rPr>
                <w:noProof/>
                <w:webHidden/>
              </w:rPr>
            </w:r>
            <w:r w:rsidR="009B3F51">
              <w:rPr>
                <w:noProof/>
                <w:webHidden/>
              </w:rPr>
              <w:fldChar w:fldCharType="separate"/>
            </w:r>
            <w:r w:rsidR="00A71297">
              <w:rPr>
                <w:noProof/>
                <w:webHidden/>
              </w:rPr>
              <w:t>11</w:t>
            </w:r>
            <w:r w:rsidR="009B3F51">
              <w:rPr>
                <w:noProof/>
                <w:webHidden/>
              </w:rPr>
              <w:fldChar w:fldCharType="end"/>
            </w:r>
          </w:hyperlink>
        </w:p>
        <w:p w:rsidR="009B3F51" w:rsidRDefault="003C07AB">
          <w:pPr>
            <w:pStyle w:val="TOC2"/>
            <w:rPr>
              <w:rFonts w:asciiTheme="minorHAnsi" w:eastAsiaTheme="minorEastAsia" w:hAnsiTheme="minorHAnsi"/>
              <w:noProof/>
              <w:szCs w:val="22"/>
              <w:lang w:eastAsia="en-AU"/>
            </w:rPr>
          </w:pPr>
          <w:hyperlink w:anchor="_Toc48141147" w:history="1">
            <w:r w:rsidR="009B3F51" w:rsidRPr="00921302">
              <w:rPr>
                <w:rStyle w:val="Hyperlink"/>
                <w:noProof/>
              </w:rPr>
              <w:t>Licence amalgamation scheme</w:t>
            </w:r>
            <w:r w:rsidR="009B3F51">
              <w:rPr>
                <w:noProof/>
                <w:webHidden/>
              </w:rPr>
              <w:tab/>
            </w:r>
            <w:r w:rsidR="009B3F51">
              <w:rPr>
                <w:noProof/>
                <w:webHidden/>
              </w:rPr>
              <w:fldChar w:fldCharType="begin"/>
            </w:r>
            <w:r w:rsidR="009B3F51">
              <w:rPr>
                <w:noProof/>
                <w:webHidden/>
              </w:rPr>
              <w:instrText xml:space="preserve"> PAGEREF _Toc48141147 \h </w:instrText>
            </w:r>
            <w:r w:rsidR="009B3F51">
              <w:rPr>
                <w:noProof/>
                <w:webHidden/>
              </w:rPr>
            </w:r>
            <w:r w:rsidR="009B3F51">
              <w:rPr>
                <w:noProof/>
                <w:webHidden/>
              </w:rPr>
              <w:fldChar w:fldCharType="separate"/>
            </w:r>
            <w:r w:rsidR="00A71297">
              <w:rPr>
                <w:noProof/>
                <w:webHidden/>
              </w:rPr>
              <w:t>12</w:t>
            </w:r>
            <w:r w:rsidR="009B3F51">
              <w:rPr>
                <w:noProof/>
                <w:webHidden/>
              </w:rPr>
              <w:fldChar w:fldCharType="end"/>
            </w:r>
          </w:hyperlink>
        </w:p>
        <w:p w:rsidR="009B3F51" w:rsidRDefault="003C07AB">
          <w:pPr>
            <w:pStyle w:val="TOC2"/>
            <w:rPr>
              <w:rFonts w:asciiTheme="minorHAnsi" w:eastAsiaTheme="minorEastAsia" w:hAnsiTheme="minorHAnsi"/>
              <w:noProof/>
              <w:szCs w:val="22"/>
              <w:lang w:eastAsia="en-AU"/>
            </w:rPr>
          </w:pPr>
          <w:hyperlink w:anchor="_Toc48141148" w:history="1">
            <w:r w:rsidR="009B3F51" w:rsidRPr="00921302">
              <w:rPr>
                <w:rStyle w:val="Hyperlink"/>
                <w:noProof/>
              </w:rPr>
              <w:t>One-in-five year licence transfer rule</w:t>
            </w:r>
            <w:r w:rsidR="009B3F51">
              <w:rPr>
                <w:noProof/>
                <w:webHidden/>
              </w:rPr>
              <w:tab/>
            </w:r>
            <w:r w:rsidR="009B3F51">
              <w:rPr>
                <w:noProof/>
                <w:webHidden/>
              </w:rPr>
              <w:fldChar w:fldCharType="begin"/>
            </w:r>
            <w:r w:rsidR="009B3F51">
              <w:rPr>
                <w:noProof/>
                <w:webHidden/>
              </w:rPr>
              <w:instrText xml:space="preserve"> PAGEREF _Toc48141148 \h </w:instrText>
            </w:r>
            <w:r w:rsidR="009B3F51">
              <w:rPr>
                <w:noProof/>
                <w:webHidden/>
              </w:rPr>
            </w:r>
            <w:r w:rsidR="009B3F51">
              <w:rPr>
                <w:noProof/>
                <w:webHidden/>
              </w:rPr>
              <w:fldChar w:fldCharType="separate"/>
            </w:r>
            <w:r w:rsidR="00A71297">
              <w:rPr>
                <w:noProof/>
                <w:webHidden/>
              </w:rPr>
              <w:t>13</w:t>
            </w:r>
            <w:r w:rsidR="009B3F51">
              <w:rPr>
                <w:noProof/>
                <w:webHidden/>
              </w:rPr>
              <w:fldChar w:fldCharType="end"/>
            </w:r>
          </w:hyperlink>
        </w:p>
        <w:p w:rsidR="009B3F51" w:rsidRDefault="003C07AB">
          <w:pPr>
            <w:pStyle w:val="TOC2"/>
            <w:rPr>
              <w:rFonts w:asciiTheme="minorHAnsi" w:eastAsiaTheme="minorEastAsia" w:hAnsiTheme="minorHAnsi"/>
              <w:noProof/>
              <w:szCs w:val="22"/>
              <w:lang w:eastAsia="en-AU"/>
            </w:rPr>
          </w:pPr>
          <w:hyperlink w:anchor="_Toc48141149" w:history="1">
            <w:r w:rsidR="009B3F51" w:rsidRPr="00921302">
              <w:rPr>
                <w:rStyle w:val="Hyperlink"/>
                <w:noProof/>
              </w:rPr>
              <w:t>Temporary licence transfer freeze</w:t>
            </w:r>
            <w:r w:rsidR="009B3F51">
              <w:rPr>
                <w:noProof/>
                <w:webHidden/>
              </w:rPr>
              <w:tab/>
            </w:r>
            <w:r w:rsidR="009B3F51">
              <w:rPr>
                <w:noProof/>
                <w:webHidden/>
              </w:rPr>
              <w:fldChar w:fldCharType="begin"/>
            </w:r>
            <w:r w:rsidR="009B3F51">
              <w:rPr>
                <w:noProof/>
                <w:webHidden/>
              </w:rPr>
              <w:instrText xml:space="preserve"> PAGEREF _Toc48141149 \h </w:instrText>
            </w:r>
            <w:r w:rsidR="009B3F51">
              <w:rPr>
                <w:noProof/>
                <w:webHidden/>
              </w:rPr>
            </w:r>
            <w:r w:rsidR="009B3F51">
              <w:rPr>
                <w:noProof/>
                <w:webHidden/>
              </w:rPr>
              <w:fldChar w:fldCharType="separate"/>
            </w:r>
            <w:r w:rsidR="00A71297">
              <w:rPr>
                <w:noProof/>
                <w:webHidden/>
              </w:rPr>
              <w:t>14</w:t>
            </w:r>
            <w:r w:rsidR="009B3F51">
              <w:rPr>
                <w:noProof/>
                <w:webHidden/>
              </w:rPr>
              <w:fldChar w:fldCharType="end"/>
            </w:r>
          </w:hyperlink>
        </w:p>
        <w:p w:rsidR="009B3F51" w:rsidRDefault="003C07AB">
          <w:pPr>
            <w:pStyle w:val="TOC2"/>
            <w:rPr>
              <w:rFonts w:asciiTheme="minorHAnsi" w:eastAsiaTheme="minorEastAsia" w:hAnsiTheme="minorHAnsi"/>
              <w:noProof/>
              <w:szCs w:val="22"/>
              <w:lang w:eastAsia="en-AU"/>
            </w:rPr>
          </w:pPr>
          <w:hyperlink w:anchor="_Toc48141150" w:history="1">
            <w:r w:rsidR="009B3F51" w:rsidRPr="00921302">
              <w:rPr>
                <w:rStyle w:val="Hyperlink"/>
                <w:noProof/>
              </w:rPr>
              <w:t>Zoned licences or State-wide access</w:t>
            </w:r>
            <w:r w:rsidR="009B3F51">
              <w:rPr>
                <w:noProof/>
                <w:webHidden/>
              </w:rPr>
              <w:tab/>
            </w:r>
            <w:r w:rsidR="009B3F51">
              <w:rPr>
                <w:noProof/>
                <w:webHidden/>
              </w:rPr>
              <w:fldChar w:fldCharType="begin"/>
            </w:r>
            <w:r w:rsidR="009B3F51">
              <w:rPr>
                <w:noProof/>
                <w:webHidden/>
              </w:rPr>
              <w:instrText xml:space="preserve"> PAGEREF _Toc48141150 \h </w:instrText>
            </w:r>
            <w:r w:rsidR="009B3F51">
              <w:rPr>
                <w:noProof/>
                <w:webHidden/>
              </w:rPr>
            </w:r>
            <w:r w:rsidR="009B3F51">
              <w:rPr>
                <w:noProof/>
                <w:webHidden/>
              </w:rPr>
              <w:fldChar w:fldCharType="separate"/>
            </w:r>
            <w:r w:rsidR="00A71297">
              <w:rPr>
                <w:noProof/>
                <w:webHidden/>
              </w:rPr>
              <w:t>14</w:t>
            </w:r>
            <w:r w:rsidR="009B3F51">
              <w:rPr>
                <w:noProof/>
                <w:webHidden/>
              </w:rPr>
              <w:fldChar w:fldCharType="end"/>
            </w:r>
          </w:hyperlink>
        </w:p>
        <w:p w:rsidR="009B3F51" w:rsidRDefault="003C07AB">
          <w:pPr>
            <w:pStyle w:val="TOC2"/>
            <w:rPr>
              <w:rFonts w:asciiTheme="minorHAnsi" w:eastAsiaTheme="minorEastAsia" w:hAnsiTheme="minorHAnsi"/>
              <w:noProof/>
              <w:szCs w:val="22"/>
              <w:lang w:eastAsia="en-AU"/>
            </w:rPr>
          </w:pPr>
          <w:hyperlink w:anchor="_Toc48141151" w:history="1">
            <w:r w:rsidR="009B3F51" w:rsidRPr="00921302">
              <w:rPr>
                <w:rStyle w:val="Hyperlink"/>
                <w:noProof/>
              </w:rPr>
              <w:t>Commercial access to the MSF by other fisheries</w:t>
            </w:r>
            <w:r w:rsidR="009B3F51">
              <w:rPr>
                <w:noProof/>
                <w:webHidden/>
              </w:rPr>
              <w:tab/>
            </w:r>
            <w:r w:rsidR="009B3F51">
              <w:rPr>
                <w:noProof/>
                <w:webHidden/>
              </w:rPr>
              <w:fldChar w:fldCharType="begin"/>
            </w:r>
            <w:r w:rsidR="009B3F51">
              <w:rPr>
                <w:noProof/>
                <w:webHidden/>
              </w:rPr>
              <w:instrText xml:space="preserve"> PAGEREF _Toc48141151 \h </w:instrText>
            </w:r>
            <w:r w:rsidR="009B3F51">
              <w:rPr>
                <w:noProof/>
                <w:webHidden/>
              </w:rPr>
            </w:r>
            <w:r w:rsidR="009B3F51">
              <w:rPr>
                <w:noProof/>
                <w:webHidden/>
              </w:rPr>
              <w:fldChar w:fldCharType="separate"/>
            </w:r>
            <w:r w:rsidR="00A71297">
              <w:rPr>
                <w:noProof/>
                <w:webHidden/>
              </w:rPr>
              <w:t>15</w:t>
            </w:r>
            <w:r w:rsidR="009B3F51">
              <w:rPr>
                <w:noProof/>
                <w:webHidden/>
              </w:rPr>
              <w:fldChar w:fldCharType="end"/>
            </w:r>
          </w:hyperlink>
        </w:p>
        <w:p w:rsidR="009B3F51" w:rsidRDefault="003C07AB">
          <w:pPr>
            <w:pStyle w:val="TOC2"/>
            <w:rPr>
              <w:rFonts w:asciiTheme="minorHAnsi" w:eastAsiaTheme="minorEastAsia" w:hAnsiTheme="minorHAnsi"/>
              <w:noProof/>
              <w:szCs w:val="22"/>
              <w:lang w:eastAsia="en-AU"/>
            </w:rPr>
          </w:pPr>
          <w:hyperlink w:anchor="_Toc48141152" w:history="1">
            <w:r w:rsidR="009B3F51" w:rsidRPr="00921302">
              <w:rPr>
                <w:rStyle w:val="Hyperlink"/>
                <w:noProof/>
              </w:rPr>
              <w:t>The costs of on-going management and licence fees</w:t>
            </w:r>
            <w:r w:rsidR="009B3F51">
              <w:rPr>
                <w:noProof/>
                <w:webHidden/>
              </w:rPr>
              <w:tab/>
            </w:r>
            <w:r w:rsidR="009B3F51">
              <w:rPr>
                <w:noProof/>
                <w:webHidden/>
              </w:rPr>
              <w:fldChar w:fldCharType="begin"/>
            </w:r>
            <w:r w:rsidR="009B3F51">
              <w:rPr>
                <w:noProof/>
                <w:webHidden/>
              </w:rPr>
              <w:instrText xml:space="preserve"> PAGEREF _Toc48141152 \h </w:instrText>
            </w:r>
            <w:r w:rsidR="009B3F51">
              <w:rPr>
                <w:noProof/>
                <w:webHidden/>
              </w:rPr>
            </w:r>
            <w:r w:rsidR="009B3F51">
              <w:rPr>
                <w:noProof/>
                <w:webHidden/>
              </w:rPr>
              <w:fldChar w:fldCharType="separate"/>
            </w:r>
            <w:r w:rsidR="00A71297">
              <w:rPr>
                <w:noProof/>
                <w:webHidden/>
              </w:rPr>
              <w:t>16</w:t>
            </w:r>
            <w:r w:rsidR="009B3F51">
              <w:rPr>
                <w:noProof/>
                <w:webHidden/>
              </w:rPr>
              <w:fldChar w:fldCharType="end"/>
            </w:r>
          </w:hyperlink>
        </w:p>
        <w:p w:rsidR="009B3F51" w:rsidRDefault="003C07AB">
          <w:pPr>
            <w:pStyle w:val="TOC1"/>
            <w:rPr>
              <w:rFonts w:asciiTheme="minorHAnsi" w:eastAsiaTheme="minorEastAsia" w:hAnsiTheme="minorHAnsi" w:cstheme="minorBidi"/>
              <w:color w:val="auto"/>
              <w:sz w:val="22"/>
              <w:szCs w:val="22"/>
              <w:lang w:eastAsia="en-AU"/>
            </w:rPr>
          </w:pPr>
          <w:hyperlink w:anchor="_Toc48141153" w:history="1">
            <w:r w:rsidR="009B3F51" w:rsidRPr="00921302">
              <w:rPr>
                <w:rStyle w:val="Hyperlink"/>
              </w:rPr>
              <w:t>Support services available to industry</w:t>
            </w:r>
            <w:r w:rsidR="009B3F51">
              <w:rPr>
                <w:webHidden/>
              </w:rPr>
              <w:tab/>
            </w:r>
            <w:r w:rsidR="009B3F51">
              <w:rPr>
                <w:webHidden/>
              </w:rPr>
              <w:fldChar w:fldCharType="begin"/>
            </w:r>
            <w:r w:rsidR="009B3F51">
              <w:rPr>
                <w:webHidden/>
              </w:rPr>
              <w:instrText xml:space="preserve"> PAGEREF _Toc48141153 \h </w:instrText>
            </w:r>
            <w:r w:rsidR="009B3F51">
              <w:rPr>
                <w:webHidden/>
              </w:rPr>
            </w:r>
            <w:r w:rsidR="009B3F51">
              <w:rPr>
                <w:webHidden/>
              </w:rPr>
              <w:fldChar w:fldCharType="separate"/>
            </w:r>
            <w:r w:rsidR="00A71297">
              <w:rPr>
                <w:webHidden/>
              </w:rPr>
              <w:t>17</w:t>
            </w:r>
            <w:r w:rsidR="009B3F51">
              <w:rPr>
                <w:webHidden/>
              </w:rPr>
              <w:fldChar w:fldCharType="end"/>
            </w:r>
          </w:hyperlink>
        </w:p>
        <w:p w:rsidR="009B3F51" w:rsidRDefault="003C07AB">
          <w:pPr>
            <w:pStyle w:val="TOC1"/>
            <w:rPr>
              <w:rFonts w:asciiTheme="minorHAnsi" w:eastAsiaTheme="minorEastAsia" w:hAnsiTheme="minorHAnsi" w:cstheme="minorBidi"/>
              <w:color w:val="auto"/>
              <w:sz w:val="22"/>
              <w:szCs w:val="22"/>
              <w:lang w:eastAsia="en-AU"/>
            </w:rPr>
          </w:pPr>
          <w:hyperlink w:anchor="_Toc48141154" w:history="1">
            <w:r w:rsidR="009B3F51" w:rsidRPr="00921302">
              <w:rPr>
                <w:rStyle w:val="Hyperlink"/>
              </w:rPr>
              <w:t>Consultation and feedback</w:t>
            </w:r>
            <w:r w:rsidR="009B3F51">
              <w:rPr>
                <w:webHidden/>
              </w:rPr>
              <w:tab/>
            </w:r>
            <w:r w:rsidR="009B3F51">
              <w:rPr>
                <w:webHidden/>
              </w:rPr>
              <w:fldChar w:fldCharType="begin"/>
            </w:r>
            <w:r w:rsidR="009B3F51">
              <w:rPr>
                <w:webHidden/>
              </w:rPr>
              <w:instrText xml:space="preserve"> PAGEREF _Toc48141154 \h </w:instrText>
            </w:r>
            <w:r w:rsidR="009B3F51">
              <w:rPr>
                <w:webHidden/>
              </w:rPr>
            </w:r>
            <w:r w:rsidR="009B3F51">
              <w:rPr>
                <w:webHidden/>
              </w:rPr>
              <w:fldChar w:fldCharType="separate"/>
            </w:r>
            <w:r w:rsidR="00A71297">
              <w:rPr>
                <w:webHidden/>
              </w:rPr>
              <w:t>18</w:t>
            </w:r>
            <w:r w:rsidR="009B3F51">
              <w:rPr>
                <w:webHidden/>
              </w:rPr>
              <w:fldChar w:fldCharType="end"/>
            </w:r>
          </w:hyperlink>
        </w:p>
        <w:p w:rsidR="009B3F51" w:rsidRDefault="003C07AB">
          <w:pPr>
            <w:pStyle w:val="TOC1"/>
            <w:rPr>
              <w:rFonts w:asciiTheme="minorHAnsi" w:eastAsiaTheme="minorEastAsia" w:hAnsiTheme="minorHAnsi" w:cstheme="minorBidi"/>
              <w:color w:val="auto"/>
              <w:sz w:val="22"/>
              <w:szCs w:val="22"/>
              <w:lang w:eastAsia="en-AU"/>
            </w:rPr>
          </w:pPr>
          <w:hyperlink w:anchor="_Toc48141155" w:history="1">
            <w:r w:rsidR="009B3F51" w:rsidRPr="00921302">
              <w:rPr>
                <w:rStyle w:val="Hyperlink"/>
              </w:rPr>
              <w:t>Next steps</w:t>
            </w:r>
            <w:r w:rsidR="009B3F51">
              <w:rPr>
                <w:webHidden/>
              </w:rPr>
              <w:tab/>
            </w:r>
            <w:r w:rsidR="009B3F51">
              <w:rPr>
                <w:webHidden/>
              </w:rPr>
              <w:fldChar w:fldCharType="begin"/>
            </w:r>
            <w:r w:rsidR="009B3F51">
              <w:rPr>
                <w:webHidden/>
              </w:rPr>
              <w:instrText xml:space="preserve"> PAGEREF _Toc48141155 \h </w:instrText>
            </w:r>
            <w:r w:rsidR="009B3F51">
              <w:rPr>
                <w:webHidden/>
              </w:rPr>
            </w:r>
            <w:r w:rsidR="009B3F51">
              <w:rPr>
                <w:webHidden/>
              </w:rPr>
              <w:fldChar w:fldCharType="separate"/>
            </w:r>
            <w:r w:rsidR="00A71297">
              <w:rPr>
                <w:webHidden/>
              </w:rPr>
              <w:t>19</w:t>
            </w:r>
            <w:r w:rsidR="009B3F51">
              <w:rPr>
                <w:webHidden/>
              </w:rPr>
              <w:fldChar w:fldCharType="end"/>
            </w:r>
          </w:hyperlink>
        </w:p>
        <w:p w:rsidR="009B3F51" w:rsidRDefault="003C07AB">
          <w:pPr>
            <w:pStyle w:val="TOC1"/>
            <w:rPr>
              <w:rFonts w:asciiTheme="minorHAnsi" w:eastAsiaTheme="minorEastAsia" w:hAnsiTheme="minorHAnsi" w:cstheme="minorBidi"/>
              <w:color w:val="auto"/>
              <w:sz w:val="22"/>
              <w:szCs w:val="22"/>
              <w:lang w:eastAsia="en-AU"/>
            </w:rPr>
          </w:pPr>
          <w:hyperlink w:anchor="_Toc48141156" w:history="1">
            <w:r w:rsidR="009B3F51" w:rsidRPr="00921302">
              <w:rPr>
                <w:rStyle w:val="Hyperlink"/>
              </w:rPr>
              <w:t>Appendix A: Report of the Independent Allocation Advisory Panel (IAAP) on priority species in the Marine Scalefish Fishery</w:t>
            </w:r>
            <w:r w:rsidR="009B3F51">
              <w:rPr>
                <w:webHidden/>
              </w:rPr>
              <w:tab/>
            </w:r>
            <w:r w:rsidR="009B3F51">
              <w:rPr>
                <w:webHidden/>
              </w:rPr>
              <w:fldChar w:fldCharType="begin"/>
            </w:r>
            <w:r w:rsidR="009B3F51">
              <w:rPr>
                <w:webHidden/>
              </w:rPr>
              <w:instrText xml:space="preserve"> PAGEREF _Toc48141156 \h </w:instrText>
            </w:r>
            <w:r w:rsidR="009B3F51">
              <w:rPr>
                <w:webHidden/>
              </w:rPr>
            </w:r>
            <w:r w:rsidR="009B3F51">
              <w:rPr>
                <w:webHidden/>
              </w:rPr>
              <w:fldChar w:fldCharType="separate"/>
            </w:r>
            <w:r w:rsidR="00A71297">
              <w:rPr>
                <w:webHidden/>
              </w:rPr>
              <w:t>20</w:t>
            </w:r>
            <w:r w:rsidR="009B3F51">
              <w:rPr>
                <w:webHidden/>
              </w:rPr>
              <w:fldChar w:fldCharType="end"/>
            </w:r>
          </w:hyperlink>
        </w:p>
        <w:p w:rsidR="00603D9D" w:rsidRDefault="008B051C" w:rsidP="00C70060">
          <w:r>
            <w:rPr>
              <w:b/>
              <w:bCs/>
              <w:noProof/>
            </w:rPr>
            <w:fldChar w:fldCharType="end"/>
          </w:r>
        </w:p>
      </w:sdtContent>
    </w:sdt>
    <w:bookmarkStart w:id="0" w:name="_Toc23435677" w:displacedByCustomXml="prev"/>
    <w:bookmarkStart w:id="1" w:name="_Toc11701987" w:displacedByCustomXml="prev"/>
    <w:bookmarkStart w:id="2" w:name="_Toc11743139" w:displacedByCustomXml="prev"/>
    <w:p w:rsidR="00603D9D" w:rsidRDefault="00603D9D" w:rsidP="00C70060">
      <w:pPr>
        <w:spacing w:line="240" w:lineRule="auto"/>
        <w:rPr>
          <w:rFonts w:eastAsiaTheme="majorEastAsia" w:cstheme="majorBidi"/>
          <w:b/>
          <w:bCs/>
          <w:color w:val="00427A"/>
          <w:kern w:val="40"/>
          <w:sz w:val="40"/>
          <w:szCs w:val="48"/>
          <w:lang w:val="en-US" w:eastAsia="ja-JP"/>
        </w:rPr>
      </w:pPr>
      <w:r>
        <w:br w:type="page"/>
      </w:r>
    </w:p>
    <w:p w:rsidR="009E38E0" w:rsidRDefault="009E38E0" w:rsidP="00C70060">
      <w:pPr>
        <w:spacing w:line="240" w:lineRule="auto"/>
        <w:rPr>
          <w:rStyle w:val="Hyperlink"/>
        </w:rPr>
        <w:sectPr w:rsidR="009E38E0" w:rsidSect="009E38E0">
          <w:footerReference w:type="default" r:id="rId13"/>
          <w:pgSz w:w="11900" w:h="16840"/>
          <w:pgMar w:top="851" w:right="851" w:bottom="1474" w:left="851" w:header="289" w:footer="454" w:gutter="0"/>
          <w:cols w:space="708"/>
          <w:docGrid w:linePitch="360"/>
        </w:sectPr>
      </w:pPr>
    </w:p>
    <w:p w:rsidR="006722B3" w:rsidRDefault="00732399" w:rsidP="00C70060">
      <w:pPr>
        <w:pStyle w:val="Heading1"/>
      </w:pPr>
      <w:bookmarkStart w:id="3" w:name="_Toc47284548"/>
      <w:bookmarkStart w:id="4" w:name="_Toc48141134"/>
      <w:r>
        <w:lastRenderedPageBreak/>
        <w:t>Aim</w:t>
      </w:r>
      <w:bookmarkEnd w:id="3"/>
      <w:bookmarkEnd w:id="4"/>
    </w:p>
    <w:p w:rsidR="000453C9" w:rsidRDefault="000453C9" w:rsidP="00992AEA">
      <w:r w:rsidRPr="00936289">
        <w:t xml:space="preserve">This document provides </w:t>
      </w:r>
      <w:r>
        <w:t xml:space="preserve">information about the </w:t>
      </w:r>
      <w:r w:rsidR="003B010C">
        <w:t xml:space="preserve">Marine </w:t>
      </w:r>
      <w:proofErr w:type="spellStart"/>
      <w:r w:rsidR="003B010C">
        <w:t>Scalefish</w:t>
      </w:r>
      <w:proofErr w:type="spellEnd"/>
      <w:r w:rsidR="003B010C">
        <w:t xml:space="preserve"> Fishery</w:t>
      </w:r>
      <w:r>
        <w:t xml:space="preserve"> </w:t>
      </w:r>
      <w:r w:rsidR="003B010C">
        <w:t>(MSF)</w:t>
      </w:r>
      <w:r w:rsidRPr="00936289">
        <w:t xml:space="preserve"> reform</w:t>
      </w:r>
      <w:r>
        <w:t xml:space="preserve"> as a basis for industry consultation</w:t>
      </w:r>
      <w:r w:rsidRPr="00936289">
        <w:t xml:space="preserve">: </w:t>
      </w:r>
    </w:p>
    <w:p w:rsidR="000453C9" w:rsidRDefault="000453C9" w:rsidP="00992AEA">
      <w:pPr>
        <w:numPr>
          <w:ilvl w:val="0"/>
          <w:numId w:val="9"/>
        </w:numPr>
        <w:spacing w:before="120"/>
        <w:ind w:left="567" w:hanging="357"/>
      </w:pPr>
      <w:r w:rsidRPr="00936289">
        <w:t xml:space="preserve">proposed method of allocating </w:t>
      </w:r>
      <w:r w:rsidR="00BF344B">
        <w:t>individual transferable</w:t>
      </w:r>
      <w:r w:rsidRPr="00936289">
        <w:t xml:space="preserve"> quota </w:t>
      </w:r>
      <w:r w:rsidR="000E0612">
        <w:t xml:space="preserve">(ITQ) </w:t>
      </w:r>
      <w:r w:rsidRPr="00936289">
        <w:t>units to licence holders</w:t>
      </w:r>
    </w:p>
    <w:p w:rsidR="000453C9" w:rsidRDefault="000453C9" w:rsidP="00992AEA">
      <w:pPr>
        <w:numPr>
          <w:ilvl w:val="0"/>
          <w:numId w:val="9"/>
        </w:numPr>
        <w:spacing w:before="120"/>
        <w:ind w:left="567" w:hanging="357"/>
        <w:contextualSpacing/>
      </w:pPr>
      <w:r w:rsidRPr="00936289">
        <w:t>a compliance program to ensure integrity of the quota management system</w:t>
      </w:r>
    </w:p>
    <w:p w:rsidR="000453C9" w:rsidRDefault="000453C9" w:rsidP="00992AEA">
      <w:pPr>
        <w:numPr>
          <w:ilvl w:val="0"/>
          <w:numId w:val="9"/>
        </w:numPr>
        <w:spacing w:before="120"/>
        <w:ind w:left="567" w:hanging="357"/>
        <w:contextualSpacing/>
      </w:pPr>
      <w:r>
        <w:t>a</w:t>
      </w:r>
      <w:r w:rsidRPr="00936289">
        <w:t xml:space="preserve"> research program </w:t>
      </w:r>
      <w:r w:rsidR="00BF344B">
        <w:t>to support ecologically sustainable</w:t>
      </w:r>
      <w:r w:rsidRPr="00936289">
        <w:t xml:space="preserve"> management </w:t>
      </w:r>
      <w:r w:rsidR="00BF344B">
        <w:t xml:space="preserve">of the fishery under a new management </w:t>
      </w:r>
      <w:r w:rsidRPr="00936289">
        <w:t>framework</w:t>
      </w:r>
      <w:r>
        <w:t xml:space="preserve"> </w:t>
      </w:r>
    </w:p>
    <w:p w:rsidR="000453C9" w:rsidRDefault="000453C9" w:rsidP="00992AEA">
      <w:pPr>
        <w:numPr>
          <w:ilvl w:val="0"/>
          <w:numId w:val="9"/>
        </w:numPr>
        <w:spacing w:before="120"/>
        <w:ind w:left="567" w:hanging="357"/>
        <w:contextualSpacing/>
      </w:pPr>
      <w:r>
        <w:t xml:space="preserve">co-management arrangements </w:t>
      </w:r>
    </w:p>
    <w:p w:rsidR="000453C9" w:rsidRDefault="00A743D0" w:rsidP="00992AEA">
      <w:pPr>
        <w:numPr>
          <w:ilvl w:val="0"/>
          <w:numId w:val="9"/>
        </w:numPr>
        <w:spacing w:before="120"/>
        <w:ind w:left="567" w:hanging="357"/>
        <w:contextualSpacing/>
      </w:pPr>
      <w:r>
        <w:t>red tape reduction</w:t>
      </w:r>
      <w:r w:rsidR="0032253C">
        <w:t xml:space="preserve"> process</w:t>
      </w:r>
    </w:p>
    <w:p w:rsidR="003B010C" w:rsidRDefault="000453C9" w:rsidP="00DB19D9">
      <w:pPr>
        <w:numPr>
          <w:ilvl w:val="0"/>
          <w:numId w:val="9"/>
        </w:numPr>
        <w:spacing w:before="120"/>
        <w:ind w:left="567" w:hanging="357"/>
        <w:contextualSpacing/>
      </w:pPr>
      <w:r>
        <w:t xml:space="preserve">proposed decisions on key </w:t>
      </w:r>
      <w:r w:rsidR="00A743D0">
        <w:t xml:space="preserve">management </w:t>
      </w:r>
      <w:r>
        <w:t xml:space="preserve">issues </w:t>
      </w:r>
    </w:p>
    <w:p w:rsidR="00DB19D9" w:rsidRDefault="00DB19D9" w:rsidP="00992AEA"/>
    <w:p w:rsidR="004A1075" w:rsidRDefault="007A7275" w:rsidP="00992AEA">
      <w:r>
        <w:t>An u</w:t>
      </w:r>
      <w:r w:rsidRPr="0075138E">
        <w:t>pdate on</w:t>
      </w:r>
      <w:r>
        <w:t xml:space="preserve"> the</w:t>
      </w:r>
      <w:r w:rsidRPr="0075138E">
        <w:t xml:space="preserve"> Voluntary Licence Surrender Program</w:t>
      </w:r>
      <w:r>
        <w:t xml:space="preserve"> and information regarding a temporary freeze on licence transfers, costs of ongoing management and licence fees, and support services available to industry are also provided</w:t>
      </w:r>
      <w:r w:rsidR="000453C9">
        <w:t>.</w:t>
      </w:r>
      <w:r w:rsidR="00B17F50">
        <w:t xml:space="preserve"> </w:t>
      </w:r>
    </w:p>
    <w:p w:rsidR="00C903A7" w:rsidRPr="00732399" w:rsidRDefault="00C903A7" w:rsidP="00C70060">
      <w:pPr>
        <w:pStyle w:val="Heading1"/>
      </w:pPr>
      <w:bookmarkStart w:id="5" w:name="_Toc47284549"/>
      <w:bookmarkStart w:id="6" w:name="_Toc48141135"/>
      <w:bookmarkStart w:id="7" w:name="_Ref45891645"/>
      <w:r w:rsidRPr="00732399">
        <w:t xml:space="preserve">Update on Voluntary </w:t>
      </w:r>
      <w:proofErr w:type="spellStart"/>
      <w:r w:rsidRPr="00732399">
        <w:t>Licence</w:t>
      </w:r>
      <w:proofErr w:type="spellEnd"/>
      <w:r w:rsidRPr="00732399">
        <w:t xml:space="preserve"> Surrender Program</w:t>
      </w:r>
      <w:bookmarkEnd w:id="5"/>
      <w:bookmarkEnd w:id="6"/>
      <w:r w:rsidRPr="00732399">
        <w:t xml:space="preserve"> </w:t>
      </w:r>
    </w:p>
    <w:p w:rsidR="00C903A7" w:rsidRDefault="0032253C" w:rsidP="00936574">
      <w:pPr>
        <w:spacing w:before="220" w:after="120" w:line="280" w:lineRule="atLeast"/>
        <w:textAlignment w:val="center"/>
        <w:rPr>
          <w:rFonts w:eastAsia="Times New Roman" w:cs="Arial"/>
          <w:szCs w:val="22"/>
          <w:lang w:eastAsia="en-AU"/>
        </w:rPr>
      </w:pPr>
      <w:r>
        <w:rPr>
          <w:rFonts w:eastAsia="Times New Roman" w:cs="Arial"/>
          <w:szCs w:val="22"/>
          <w:lang w:eastAsia="en-AU"/>
        </w:rPr>
        <w:t>The Department of Primary Industries and Regions (</w:t>
      </w:r>
      <w:r w:rsidR="00C903A7" w:rsidRPr="008827E7">
        <w:rPr>
          <w:rFonts w:eastAsia="Times New Roman" w:cs="Arial"/>
          <w:szCs w:val="22"/>
          <w:lang w:eastAsia="en-AU"/>
        </w:rPr>
        <w:t>PIRSA</w:t>
      </w:r>
      <w:r>
        <w:rPr>
          <w:rFonts w:eastAsia="Times New Roman" w:cs="Arial"/>
          <w:szCs w:val="22"/>
          <w:lang w:eastAsia="en-AU"/>
        </w:rPr>
        <w:t>)</w:t>
      </w:r>
      <w:r w:rsidR="00C903A7" w:rsidRPr="008827E7">
        <w:rPr>
          <w:rFonts w:eastAsia="Times New Roman" w:cs="Arial"/>
          <w:szCs w:val="22"/>
          <w:lang w:eastAsia="en-AU"/>
        </w:rPr>
        <w:t xml:space="preserve"> is administering the Voluntary Licence Surrender Program, which </w:t>
      </w:r>
      <w:r w:rsidR="00BF73B3">
        <w:rPr>
          <w:rFonts w:eastAsia="Times New Roman" w:cs="Arial"/>
          <w:szCs w:val="22"/>
          <w:lang w:eastAsia="en-AU"/>
        </w:rPr>
        <w:t>aims t</w:t>
      </w:r>
      <w:r w:rsidR="00BF73B3" w:rsidRPr="00BF73B3">
        <w:rPr>
          <w:rFonts w:eastAsia="Times New Roman" w:cs="Arial"/>
          <w:szCs w:val="22"/>
          <w:lang w:eastAsia="en-AU"/>
        </w:rPr>
        <w:t xml:space="preserve">o remove up to 150 licences in the </w:t>
      </w:r>
      <w:r w:rsidR="00BF73B3">
        <w:rPr>
          <w:rFonts w:eastAsia="Times New Roman" w:cs="Arial"/>
          <w:szCs w:val="22"/>
          <w:lang w:eastAsia="en-AU"/>
        </w:rPr>
        <w:t>MSF</w:t>
      </w:r>
      <w:r w:rsidR="00BF73B3" w:rsidRPr="00BF73B3">
        <w:rPr>
          <w:rFonts w:eastAsia="Times New Roman" w:cs="Arial"/>
          <w:szCs w:val="22"/>
          <w:lang w:eastAsia="en-AU"/>
        </w:rPr>
        <w:t xml:space="preserve"> through</w:t>
      </w:r>
      <w:r w:rsidR="00BF73B3">
        <w:rPr>
          <w:rFonts w:eastAsia="Times New Roman" w:cs="Arial"/>
          <w:szCs w:val="22"/>
          <w:lang w:eastAsia="en-AU"/>
        </w:rPr>
        <w:t xml:space="preserve"> </w:t>
      </w:r>
      <w:r w:rsidR="00BF73B3" w:rsidRPr="00BF73B3">
        <w:rPr>
          <w:rFonts w:eastAsia="Times New Roman" w:cs="Arial"/>
          <w:szCs w:val="22"/>
          <w:lang w:eastAsia="en-AU"/>
        </w:rPr>
        <w:t>the voluntary surrender of fishery licences</w:t>
      </w:r>
      <w:r w:rsidR="00BF73B3">
        <w:rPr>
          <w:rFonts w:eastAsia="Times New Roman" w:cs="Arial"/>
          <w:szCs w:val="22"/>
          <w:lang w:eastAsia="en-AU"/>
        </w:rPr>
        <w:t>. The program</w:t>
      </w:r>
      <w:r w:rsidR="00BF73B3" w:rsidRPr="008827E7">
        <w:rPr>
          <w:rFonts w:eastAsia="Times New Roman" w:cs="Arial"/>
          <w:szCs w:val="22"/>
          <w:lang w:eastAsia="en-AU"/>
        </w:rPr>
        <w:t xml:space="preserve"> </w:t>
      </w:r>
      <w:r w:rsidR="00C903A7" w:rsidRPr="008827E7">
        <w:rPr>
          <w:rFonts w:eastAsia="Times New Roman" w:cs="Arial"/>
          <w:szCs w:val="22"/>
          <w:lang w:eastAsia="en-AU"/>
        </w:rPr>
        <w:t>commenced on 25 May 2020</w:t>
      </w:r>
      <w:r w:rsidR="00010F1E">
        <w:rPr>
          <w:rFonts w:eastAsia="Times New Roman" w:cs="Arial"/>
          <w:szCs w:val="22"/>
          <w:lang w:eastAsia="en-AU"/>
        </w:rPr>
        <w:t xml:space="preserve"> when l</w:t>
      </w:r>
      <w:r w:rsidR="00C903A7" w:rsidRPr="008827E7">
        <w:rPr>
          <w:rFonts w:eastAsia="Times New Roman" w:cs="Arial"/>
          <w:szCs w:val="22"/>
          <w:lang w:eastAsia="en-AU"/>
        </w:rPr>
        <w:t>icence holders</w:t>
      </w:r>
      <w:r w:rsidR="00010F1E">
        <w:rPr>
          <w:rFonts w:eastAsia="Times New Roman" w:cs="Arial"/>
          <w:szCs w:val="22"/>
          <w:lang w:eastAsia="en-AU"/>
        </w:rPr>
        <w:t xml:space="preserve"> in the MSF</w:t>
      </w:r>
      <w:r w:rsidR="00C903A7" w:rsidRPr="008827E7">
        <w:rPr>
          <w:rFonts w:eastAsia="Times New Roman" w:cs="Arial"/>
          <w:szCs w:val="22"/>
          <w:lang w:eastAsia="en-AU"/>
        </w:rPr>
        <w:t xml:space="preserve"> </w:t>
      </w:r>
      <w:r w:rsidR="00010F1E">
        <w:rPr>
          <w:rFonts w:eastAsia="Times New Roman" w:cs="Arial"/>
          <w:szCs w:val="22"/>
          <w:lang w:eastAsia="en-AU"/>
        </w:rPr>
        <w:t>were</w:t>
      </w:r>
      <w:r w:rsidR="002972F4">
        <w:rPr>
          <w:rFonts w:eastAsia="Times New Roman" w:cs="Arial"/>
          <w:szCs w:val="22"/>
          <w:lang w:eastAsia="en-AU"/>
        </w:rPr>
        <w:t xml:space="preserve"> invited </w:t>
      </w:r>
      <w:r w:rsidR="00C903A7" w:rsidRPr="008827E7">
        <w:rPr>
          <w:rFonts w:eastAsia="Times New Roman" w:cs="Arial"/>
          <w:szCs w:val="22"/>
          <w:lang w:eastAsia="en-AU"/>
        </w:rPr>
        <w:t>to submit proposal</w:t>
      </w:r>
      <w:r w:rsidR="00010F1E">
        <w:rPr>
          <w:rFonts w:eastAsia="Times New Roman" w:cs="Arial"/>
          <w:szCs w:val="22"/>
          <w:lang w:eastAsia="en-AU"/>
        </w:rPr>
        <w:t>s to surrender</w:t>
      </w:r>
      <w:r w:rsidR="00C903A7" w:rsidRPr="008827E7">
        <w:rPr>
          <w:rFonts w:eastAsia="Times New Roman" w:cs="Arial"/>
          <w:szCs w:val="22"/>
          <w:lang w:eastAsia="en-AU"/>
        </w:rPr>
        <w:t xml:space="preserve"> their line or net licence</w:t>
      </w:r>
      <w:r w:rsidR="002972F4">
        <w:rPr>
          <w:rFonts w:eastAsia="Times New Roman" w:cs="Arial"/>
          <w:szCs w:val="22"/>
          <w:lang w:eastAsia="en-AU"/>
        </w:rPr>
        <w:t xml:space="preserve">s. </w:t>
      </w:r>
      <w:r w:rsidR="00C903A7" w:rsidRPr="008827E7">
        <w:rPr>
          <w:rFonts w:eastAsia="Times New Roman" w:cs="Arial"/>
          <w:szCs w:val="22"/>
          <w:lang w:eastAsia="en-AU"/>
        </w:rPr>
        <w:t xml:space="preserve">The sum payable for a line licence is $140,000 (excluding GST) and for a net licence is $180,000 (excluding GST), less any outstanding licence fees. </w:t>
      </w:r>
    </w:p>
    <w:p w:rsidR="00BF73B3" w:rsidRDefault="00C903A7" w:rsidP="00936574">
      <w:pPr>
        <w:spacing w:after="120" w:line="280" w:lineRule="atLeast"/>
        <w:textAlignment w:val="center"/>
        <w:rPr>
          <w:rFonts w:eastAsia="Times New Roman" w:cs="Arial"/>
          <w:szCs w:val="22"/>
          <w:lang w:eastAsia="en-AU"/>
        </w:rPr>
      </w:pPr>
      <w:r w:rsidRPr="008827E7">
        <w:rPr>
          <w:rFonts w:eastAsia="Times New Roman" w:cs="Arial"/>
          <w:szCs w:val="22"/>
          <w:lang w:eastAsia="en-AU"/>
        </w:rPr>
        <w:t xml:space="preserve">PIRSA </w:t>
      </w:r>
      <w:r w:rsidR="002972F4">
        <w:rPr>
          <w:rFonts w:eastAsia="Times New Roman" w:cs="Arial"/>
          <w:szCs w:val="22"/>
          <w:lang w:eastAsia="en-AU"/>
        </w:rPr>
        <w:t xml:space="preserve">has </w:t>
      </w:r>
      <w:r w:rsidRPr="008827E7">
        <w:rPr>
          <w:rFonts w:eastAsia="Times New Roman" w:cs="Arial"/>
          <w:szCs w:val="22"/>
          <w:lang w:eastAsia="en-AU"/>
        </w:rPr>
        <w:t xml:space="preserve">established an Assessment Panel to consider </w:t>
      </w:r>
      <w:r w:rsidR="002972F4">
        <w:rPr>
          <w:rFonts w:eastAsia="Times New Roman" w:cs="Arial"/>
          <w:szCs w:val="22"/>
          <w:lang w:eastAsia="en-AU"/>
        </w:rPr>
        <w:t xml:space="preserve">the proposals </w:t>
      </w:r>
      <w:r w:rsidR="00BF73B3">
        <w:rPr>
          <w:rFonts w:eastAsia="Times New Roman" w:cs="Arial"/>
          <w:szCs w:val="22"/>
          <w:lang w:eastAsia="en-AU"/>
        </w:rPr>
        <w:t>to surrender</w:t>
      </w:r>
      <w:r w:rsidR="002972F4" w:rsidRPr="008827E7">
        <w:rPr>
          <w:rFonts w:eastAsia="Times New Roman" w:cs="Arial"/>
          <w:szCs w:val="22"/>
          <w:lang w:eastAsia="en-AU"/>
        </w:rPr>
        <w:t xml:space="preserve"> licence</w:t>
      </w:r>
      <w:r w:rsidR="00BF73B3">
        <w:rPr>
          <w:rFonts w:eastAsia="Times New Roman" w:cs="Arial"/>
          <w:szCs w:val="22"/>
          <w:lang w:eastAsia="en-AU"/>
        </w:rPr>
        <w:t>s</w:t>
      </w:r>
      <w:r w:rsidR="002972F4">
        <w:rPr>
          <w:rFonts w:eastAsia="Times New Roman" w:cs="Arial"/>
          <w:szCs w:val="22"/>
          <w:lang w:eastAsia="en-AU"/>
        </w:rPr>
        <w:t xml:space="preserve"> in the order they are received </w:t>
      </w:r>
      <w:r w:rsidRPr="008827E7">
        <w:rPr>
          <w:rFonts w:eastAsia="Times New Roman" w:cs="Arial"/>
          <w:szCs w:val="22"/>
          <w:lang w:eastAsia="en-AU"/>
        </w:rPr>
        <w:t xml:space="preserve">and provide recommendations to the Minister for Primary Industries and Regional Development. </w:t>
      </w:r>
      <w:r w:rsidRPr="00F87E24">
        <w:rPr>
          <w:rFonts w:eastAsia="Times New Roman" w:cs="Arial"/>
          <w:szCs w:val="22"/>
          <w:lang w:eastAsia="en-AU"/>
        </w:rPr>
        <w:t xml:space="preserve">An </w:t>
      </w:r>
      <w:r w:rsidR="00F87E24" w:rsidRPr="00F87E24">
        <w:rPr>
          <w:rFonts w:eastAsia="Times New Roman" w:cs="Arial"/>
          <w:szCs w:val="22"/>
          <w:lang w:eastAsia="en-AU"/>
        </w:rPr>
        <w:t xml:space="preserve">external </w:t>
      </w:r>
      <w:r w:rsidRPr="00F87E24">
        <w:rPr>
          <w:rFonts w:eastAsia="Times New Roman" w:cs="Arial"/>
          <w:szCs w:val="22"/>
          <w:lang w:eastAsia="en-AU"/>
        </w:rPr>
        <w:t xml:space="preserve">independent probity officer </w:t>
      </w:r>
      <w:r w:rsidR="00F87E24" w:rsidRPr="00F87E24">
        <w:rPr>
          <w:rFonts w:eastAsia="Times New Roman" w:cs="Arial"/>
          <w:szCs w:val="22"/>
          <w:lang w:eastAsia="en-AU"/>
        </w:rPr>
        <w:t>observes the meetings and deliberations of the panel.</w:t>
      </w:r>
    </w:p>
    <w:p w:rsidR="00010F1E" w:rsidRDefault="00C903A7" w:rsidP="00936574">
      <w:pPr>
        <w:spacing w:after="120" w:line="280" w:lineRule="atLeast"/>
        <w:textAlignment w:val="center"/>
        <w:rPr>
          <w:rFonts w:eastAsia="Times New Roman" w:cs="Arial"/>
          <w:szCs w:val="22"/>
          <w:lang w:eastAsia="en-AU"/>
        </w:rPr>
      </w:pPr>
      <w:r w:rsidRPr="008827E7">
        <w:rPr>
          <w:rFonts w:eastAsia="Times New Roman" w:cs="Arial"/>
          <w:szCs w:val="22"/>
          <w:lang w:eastAsia="en-AU"/>
        </w:rPr>
        <w:t xml:space="preserve">To date, </w:t>
      </w:r>
      <w:r w:rsidR="00E3173F">
        <w:rPr>
          <w:rFonts w:eastAsia="Times New Roman" w:cs="Arial"/>
          <w:szCs w:val="22"/>
          <w:lang w:eastAsia="en-AU"/>
        </w:rPr>
        <w:t>44</w:t>
      </w:r>
      <w:r w:rsidRPr="008827E7">
        <w:rPr>
          <w:rFonts w:eastAsia="Times New Roman" w:cs="Arial"/>
          <w:szCs w:val="22"/>
          <w:lang w:eastAsia="en-AU"/>
        </w:rPr>
        <w:t xml:space="preserve"> proposals have been </w:t>
      </w:r>
      <w:r w:rsidR="00F43AE8">
        <w:rPr>
          <w:rFonts w:eastAsia="Times New Roman" w:cs="Arial"/>
          <w:szCs w:val="22"/>
          <w:lang w:eastAsia="en-AU"/>
        </w:rPr>
        <w:t xml:space="preserve">given Ministerial </w:t>
      </w:r>
      <w:r w:rsidRPr="008827E7">
        <w:rPr>
          <w:rFonts w:eastAsia="Times New Roman" w:cs="Arial"/>
          <w:szCs w:val="22"/>
          <w:lang w:eastAsia="en-AU"/>
        </w:rPr>
        <w:t>approv</w:t>
      </w:r>
      <w:r w:rsidR="00F43AE8">
        <w:rPr>
          <w:rFonts w:eastAsia="Times New Roman" w:cs="Arial"/>
          <w:szCs w:val="22"/>
          <w:lang w:eastAsia="en-AU"/>
        </w:rPr>
        <w:t>al</w:t>
      </w:r>
      <w:r>
        <w:rPr>
          <w:rFonts w:eastAsia="Times New Roman" w:cs="Arial"/>
          <w:szCs w:val="22"/>
          <w:lang w:eastAsia="en-AU"/>
        </w:rPr>
        <w:t xml:space="preserve"> </w:t>
      </w:r>
      <w:r w:rsidR="00F43AE8">
        <w:rPr>
          <w:rFonts w:eastAsia="Times New Roman" w:cs="Arial"/>
          <w:szCs w:val="22"/>
          <w:lang w:eastAsia="en-AU"/>
        </w:rPr>
        <w:t>(</w:t>
      </w:r>
      <w:r w:rsidR="00E3173F">
        <w:rPr>
          <w:rFonts w:eastAsia="Times New Roman" w:cs="Arial"/>
          <w:szCs w:val="22"/>
          <w:lang w:eastAsia="en-AU"/>
        </w:rPr>
        <w:t>40</w:t>
      </w:r>
      <w:r>
        <w:rPr>
          <w:rFonts w:eastAsia="Times New Roman" w:cs="Arial"/>
          <w:szCs w:val="22"/>
          <w:lang w:eastAsia="en-AU"/>
        </w:rPr>
        <w:t xml:space="preserve"> line licences and four net licences</w:t>
      </w:r>
      <w:r w:rsidR="00F43AE8">
        <w:rPr>
          <w:rFonts w:eastAsia="Times New Roman" w:cs="Arial"/>
          <w:szCs w:val="22"/>
          <w:lang w:eastAsia="en-AU"/>
        </w:rPr>
        <w:t>)</w:t>
      </w:r>
      <w:r w:rsidRPr="008827E7">
        <w:rPr>
          <w:rFonts w:eastAsia="Times New Roman" w:cs="Arial"/>
          <w:szCs w:val="22"/>
          <w:lang w:eastAsia="en-AU"/>
        </w:rPr>
        <w:t>.</w:t>
      </w:r>
    </w:p>
    <w:p w:rsidR="00936574" w:rsidRDefault="00BF73B3" w:rsidP="00936574">
      <w:pPr>
        <w:spacing w:after="120" w:line="280" w:lineRule="atLeast"/>
        <w:textAlignment w:val="center"/>
        <w:rPr>
          <w:rFonts w:eastAsia="Times New Roman" w:cs="Arial"/>
          <w:szCs w:val="22"/>
          <w:lang w:eastAsia="en-AU"/>
        </w:rPr>
      </w:pPr>
      <w:r>
        <w:rPr>
          <w:rFonts w:eastAsia="Times New Roman" w:cs="Arial"/>
          <w:szCs w:val="22"/>
          <w:lang w:eastAsia="en-AU"/>
        </w:rPr>
        <w:t>Licence holders are reminded t</w:t>
      </w:r>
      <w:r w:rsidR="00010F1E">
        <w:rPr>
          <w:rFonts w:eastAsia="Times New Roman" w:cs="Arial"/>
          <w:szCs w:val="22"/>
          <w:lang w:eastAsia="en-AU"/>
        </w:rPr>
        <w:t xml:space="preserve">he closing date for </w:t>
      </w:r>
      <w:r w:rsidR="00010F1E" w:rsidRPr="00010F1E">
        <w:rPr>
          <w:rFonts w:eastAsia="Times New Roman" w:cs="Arial"/>
          <w:szCs w:val="22"/>
          <w:lang w:eastAsia="en-AU"/>
        </w:rPr>
        <w:t xml:space="preserve">PIRSA to receive </w:t>
      </w:r>
      <w:r w:rsidR="00010F1E">
        <w:rPr>
          <w:rFonts w:eastAsia="Times New Roman" w:cs="Arial"/>
          <w:szCs w:val="22"/>
          <w:lang w:eastAsia="en-AU"/>
        </w:rPr>
        <w:t>proposals is 13 November 2020</w:t>
      </w:r>
      <w:r>
        <w:rPr>
          <w:rFonts w:eastAsia="Times New Roman" w:cs="Arial"/>
          <w:szCs w:val="22"/>
          <w:lang w:eastAsia="en-AU"/>
        </w:rPr>
        <w:t>; the program will close</w:t>
      </w:r>
      <w:r w:rsidR="00010F1E">
        <w:rPr>
          <w:rFonts w:eastAsia="Times New Roman" w:cs="Arial"/>
          <w:szCs w:val="22"/>
          <w:lang w:eastAsia="en-AU"/>
        </w:rPr>
        <w:t xml:space="preserve"> </w:t>
      </w:r>
      <w:r w:rsidR="00010F1E" w:rsidRPr="00010F1E">
        <w:rPr>
          <w:rFonts w:eastAsia="Times New Roman" w:cs="Arial"/>
          <w:szCs w:val="22"/>
          <w:lang w:eastAsia="en-AU"/>
        </w:rPr>
        <w:t>earlier if the funds allocated for this purpose are exhausted</w:t>
      </w:r>
      <w:r>
        <w:rPr>
          <w:rFonts w:eastAsia="Times New Roman" w:cs="Arial"/>
          <w:szCs w:val="22"/>
          <w:lang w:eastAsia="en-AU"/>
        </w:rPr>
        <w:t xml:space="preserve"> before this time</w:t>
      </w:r>
      <w:r w:rsidR="00010F1E" w:rsidRPr="00010F1E">
        <w:rPr>
          <w:rFonts w:eastAsia="Times New Roman" w:cs="Arial"/>
          <w:szCs w:val="22"/>
          <w:lang w:eastAsia="en-AU"/>
        </w:rPr>
        <w:t xml:space="preserve">. </w:t>
      </w:r>
      <w:r>
        <w:rPr>
          <w:rFonts w:eastAsia="Times New Roman" w:cs="Arial"/>
          <w:szCs w:val="22"/>
          <w:lang w:eastAsia="en-AU"/>
        </w:rPr>
        <w:t xml:space="preserve">This is a one-off program </w:t>
      </w:r>
      <w:r w:rsidR="0032253C">
        <w:rPr>
          <w:rFonts w:eastAsia="Times New Roman" w:cs="Arial"/>
          <w:szCs w:val="22"/>
          <w:lang w:eastAsia="en-AU"/>
        </w:rPr>
        <w:t xml:space="preserve">which </w:t>
      </w:r>
      <w:r>
        <w:rPr>
          <w:rFonts w:eastAsia="Times New Roman" w:cs="Arial"/>
          <w:szCs w:val="22"/>
          <w:lang w:eastAsia="en-AU"/>
        </w:rPr>
        <w:t xml:space="preserve">will not be repeated. </w:t>
      </w:r>
    </w:p>
    <w:p w:rsidR="00C903A7" w:rsidRDefault="00C903A7" w:rsidP="00936574">
      <w:pPr>
        <w:spacing w:after="120" w:line="280" w:lineRule="atLeast"/>
        <w:textAlignment w:val="center"/>
      </w:pPr>
      <w:r>
        <w:t xml:space="preserve">On 8 July 2020, and with effect from 9 July 2020, a Legislative Instrument was registered </w:t>
      </w:r>
      <w:r w:rsidR="00BF73B3">
        <w:t xml:space="preserve">by the </w:t>
      </w:r>
      <w:r w:rsidR="00C732CF">
        <w:t xml:space="preserve">Australian Government Department of Social Services </w:t>
      </w:r>
      <w:r>
        <w:t xml:space="preserve">for payments under the Marine </w:t>
      </w:r>
      <w:proofErr w:type="spellStart"/>
      <w:r>
        <w:t>Scalefish</w:t>
      </w:r>
      <w:proofErr w:type="spellEnd"/>
      <w:r>
        <w:t xml:space="preserve"> Fishery Reform: Voluntary Licence Surrender Program.  This is known as the </w:t>
      </w:r>
      <w:r w:rsidRPr="006B612E">
        <w:rPr>
          <w:i/>
        </w:rPr>
        <w:t xml:space="preserve">Social Security (Exempt Lump Sum – South Australia – Marine </w:t>
      </w:r>
      <w:proofErr w:type="spellStart"/>
      <w:r w:rsidRPr="006B612E">
        <w:rPr>
          <w:i/>
        </w:rPr>
        <w:t>Scalefish</w:t>
      </w:r>
      <w:proofErr w:type="spellEnd"/>
      <w:r w:rsidRPr="006B612E">
        <w:rPr>
          <w:i/>
        </w:rPr>
        <w:t xml:space="preserve"> Fishery Reform: Voluntary Licence Surrender Program) Determination 2020</w:t>
      </w:r>
      <w:r>
        <w:t xml:space="preserve"> pursuant to the </w:t>
      </w:r>
      <w:r w:rsidRPr="006B612E">
        <w:rPr>
          <w:i/>
        </w:rPr>
        <w:t>Social Security Act 1991</w:t>
      </w:r>
      <w:r>
        <w:t xml:space="preserve">. </w:t>
      </w:r>
    </w:p>
    <w:p w:rsidR="00C903A7" w:rsidRDefault="00C903A7" w:rsidP="00992AEA">
      <w:pPr>
        <w:spacing w:after="120"/>
      </w:pPr>
      <w:r>
        <w:t>This means</w:t>
      </w:r>
      <w:r w:rsidRPr="00060791">
        <w:t xml:space="preserve"> certain payments made to persons under the South Australian Government’s </w:t>
      </w:r>
      <w:r w:rsidRPr="002B6905">
        <w:rPr>
          <w:i/>
        </w:rPr>
        <w:t xml:space="preserve">Marine </w:t>
      </w:r>
      <w:proofErr w:type="spellStart"/>
      <w:r w:rsidRPr="002B6905">
        <w:rPr>
          <w:i/>
        </w:rPr>
        <w:t>Scalefish</w:t>
      </w:r>
      <w:proofErr w:type="spellEnd"/>
      <w:r w:rsidRPr="002B6905">
        <w:rPr>
          <w:i/>
        </w:rPr>
        <w:t xml:space="preserve"> Fishery Reform: Voluntary Licence Surrender Program </w:t>
      </w:r>
      <w:r w:rsidRPr="00060791">
        <w:lastRenderedPageBreak/>
        <w:t>are exempt lump sums</w:t>
      </w:r>
      <w:r w:rsidR="00C732CF">
        <w:t xml:space="preserve"> for the purpose of social security law and will </w:t>
      </w:r>
      <w:r w:rsidR="00C732CF" w:rsidRPr="00C732CF">
        <w:t>not be taken into account under the social security income test</w:t>
      </w:r>
      <w:r w:rsidRPr="00060791">
        <w:t>.</w:t>
      </w:r>
      <w:r>
        <w:t xml:space="preserve"> </w:t>
      </w:r>
    </w:p>
    <w:p w:rsidR="00F43AE8" w:rsidRDefault="00F43AE8" w:rsidP="00F43AE8">
      <w:r>
        <w:t xml:space="preserve">Further information on the Legislative Instrument can be accessed at: </w:t>
      </w:r>
    </w:p>
    <w:p w:rsidR="00C903A7" w:rsidRDefault="003C07AB" w:rsidP="00F43AE8">
      <w:pPr>
        <w:spacing w:after="120"/>
      </w:pPr>
      <w:hyperlink r:id="rId14" w:history="1">
        <w:r w:rsidR="00F43AE8">
          <w:rPr>
            <w:rStyle w:val="Hyperlink"/>
          </w:rPr>
          <w:t>https://www.legislation.gov.au/Details/F2020L00893</w:t>
        </w:r>
      </w:hyperlink>
      <w:r w:rsidR="00F43AE8">
        <w:rPr>
          <w:rStyle w:val="Hyperlink"/>
        </w:rPr>
        <w:t xml:space="preserve"> </w:t>
      </w:r>
      <w:r w:rsidR="00F43AE8">
        <w:t xml:space="preserve">and </w:t>
      </w:r>
      <w:hyperlink r:id="rId15" w:history="1">
        <w:r w:rsidR="00C903A7" w:rsidRPr="00FE673B">
          <w:rPr>
            <w:rStyle w:val="Hyperlink"/>
          </w:rPr>
          <w:t>https://www.legislation.gov.au/Details/F2020L00893/Explanatory%20Statement/Text</w:t>
        </w:r>
      </w:hyperlink>
      <w:r w:rsidR="00C903A7">
        <w:t xml:space="preserve"> </w:t>
      </w:r>
    </w:p>
    <w:p w:rsidR="00C903A7" w:rsidRDefault="00C903A7" w:rsidP="00992AEA">
      <w:pPr>
        <w:spacing w:after="120"/>
      </w:pPr>
      <w:r>
        <w:t xml:space="preserve">PIRSA does not make any representation in relation to the Legislative Instrument referred to above and licence holders should seek independent financial and/or legal advice on taxation and business planning before submitting a </w:t>
      </w:r>
      <w:r w:rsidR="00D553D2">
        <w:t xml:space="preserve">licence </w:t>
      </w:r>
      <w:r>
        <w:t>surrender offer.</w:t>
      </w:r>
    </w:p>
    <w:p w:rsidR="00732399" w:rsidRPr="00732399" w:rsidRDefault="00035B2B" w:rsidP="00C70060">
      <w:pPr>
        <w:pStyle w:val="Heading1"/>
      </w:pPr>
      <w:bookmarkStart w:id="8" w:name="_Ref46236348"/>
      <w:bookmarkStart w:id="9" w:name="_Toc47284550"/>
      <w:bookmarkStart w:id="10" w:name="_Toc48141136"/>
      <w:r>
        <w:t>R</w:t>
      </w:r>
      <w:r w:rsidR="00732399" w:rsidRPr="00732399">
        <w:t>eport of the Independent Allocation Advisory Panel</w:t>
      </w:r>
      <w:bookmarkEnd w:id="7"/>
      <w:bookmarkEnd w:id="8"/>
      <w:bookmarkEnd w:id="9"/>
      <w:bookmarkEnd w:id="10"/>
      <w:r w:rsidR="00732399" w:rsidRPr="00732399">
        <w:t xml:space="preserve"> </w:t>
      </w:r>
    </w:p>
    <w:p w:rsidR="00831B48" w:rsidRPr="00EB5C4C" w:rsidRDefault="00831B48" w:rsidP="00EB5C4C">
      <w:pPr>
        <w:spacing w:after="120"/>
        <w:rPr>
          <w:lang w:val="en-US"/>
        </w:rPr>
      </w:pPr>
      <w:r w:rsidRPr="00EB5C4C">
        <w:rPr>
          <w:lang w:val="en-US"/>
        </w:rPr>
        <w:t>The Independent Allocation Advisory</w:t>
      </w:r>
      <w:r w:rsidR="00D553D2" w:rsidRPr="00EB5C4C">
        <w:rPr>
          <w:lang w:val="en-US"/>
        </w:rPr>
        <w:t xml:space="preserve"> Panel</w:t>
      </w:r>
      <w:r w:rsidRPr="00EB5C4C">
        <w:rPr>
          <w:lang w:val="en-US"/>
        </w:rPr>
        <w:t xml:space="preserve"> (IAAP) on quota species in the MSF was established on 14 May 2020 with the following membership:</w:t>
      </w:r>
    </w:p>
    <w:p w:rsidR="00831B48" w:rsidRDefault="00831B48" w:rsidP="00C70060">
      <w:pPr>
        <w:pStyle w:val="ListParagraph"/>
        <w:numPr>
          <w:ilvl w:val="0"/>
          <w:numId w:val="16"/>
        </w:numPr>
        <w:spacing w:after="60" w:line="257" w:lineRule="auto"/>
        <w:ind w:left="567" w:hanging="357"/>
        <w:contextualSpacing w:val="0"/>
        <w:rPr>
          <w:lang w:val="en-US"/>
        </w:rPr>
      </w:pPr>
      <w:r>
        <w:rPr>
          <w:lang w:val="en-US"/>
        </w:rPr>
        <w:t xml:space="preserve">Tim Mellor </w:t>
      </w:r>
      <w:r w:rsidR="00F43AE8">
        <w:rPr>
          <w:lang w:val="en-US"/>
        </w:rPr>
        <w:t>–</w:t>
      </w:r>
      <w:r w:rsidR="00F51D6B">
        <w:rPr>
          <w:lang w:val="en-US"/>
        </w:rPr>
        <w:t xml:space="preserve"> l</w:t>
      </w:r>
      <w:r w:rsidR="00F43AE8">
        <w:rPr>
          <w:lang w:val="en-US"/>
        </w:rPr>
        <w:t xml:space="preserve">egal </w:t>
      </w:r>
      <w:r w:rsidR="00F51D6B">
        <w:rPr>
          <w:lang w:val="en-US"/>
        </w:rPr>
        <w:t xml:space="preserve">expertise </w:t>
      </w:r>
      <w:r>
        <w:rPr>
          <w:lang w:val="en-US"/>
        </w:rPr>
        <w:t>(Chair)</w:t>
      </w:r>
    </w:p>
    <w:p w:rsidR="00831B48" w:rsidRDefault="00831B48" w:rsidP="00C70060">
      <w:pPr>
        <w:pStyle w:val="ListParagraph"/>
        <w:numPr>
          <w:ilvl w:val="0"/>
          <w:numId w:val="16"/>
        </w:numPr>
        <w:spacing w:after="60" w:line="257" w:lineRule="auto"/>
        <w:ind w:left="567" w:hanging="357"/>
        <w:contextualSpacing w:val="0"/>
        <w:rPr>
          <w:lang w:val="en-US"/>
        </w:rPr>
      </w:pPr>
      <w:r>
        <w:rPr>
          <w:lang w:val="en-US"/>
        </w:rPr>
        <w:t>Sevaly Sen</w:t>
      </w:r>
      <w:r w:rsidR="00F51D6B">
        <w:rPr>
          <w:lang w:val="en-US"/>
        </w:rPr>
        <w:t xml:space="preserve"> – economic expertise</w:t>
      </w:r>
    </w:p>
    <w:p w:rsidR="00831B48" w:rsidRDefault="00831B48" w:rsidP="00C70060">
      <w:pPr>
        <w:pStyle w:val="ListParagraph"/>
        <w:numPr>
          <w:ilvl w:val="0"/>
          <w:numId w:val="16"/>
        </w:numPr>
        <w:spacing w:after="60" w:line="257" w:lineRule="auto"/>
        <w:ind w:left="567" w:hanging="357"/>
        <w:contextualSpacing w:val="0"/>
        <w:rPr>
          <w:lang w:val="en-US"/>
        </w:rPr>
      </w:pPr>
      <w:r>
        <w:rPr>
          <w:lang w:val="en-US"/>
        </w:rPr>
        <w:t>Ian Cartwright</w:t>
      </w:r>
      <w:r w:rsidR="00F43AE8">
        <w:rPr>
          <w:lang w:val="en-US"/>
        </w:rPr>
        <w:t xml:space="preserve"> </w:t>
      </w:r>
      <w:r w:rsidR="00F51D6B">
        <w:rPr>
          <w:lang w:val="en-US"/>
        </w:rPr>
        <w:t>– fisheries management expertise</w:t>
      </w:r>
      <w:r w:rsidR="00F43AE8">
        <w:rPr>
          <w:lang w:val="en-US"/>
        </w:rPr>
        <w:t xml:space="preserve"> </w:t>
      </w:r>
    </w:p>
    <w:p w:rsidR="00831B48" w:rsidRDefault="00831B48" w:rsidP="00936574">
      <w:pPr>
        <w:spacing w:after="120"/>
        <w:rPr>
          <w:lang w:val="en-GB"/>
        </w:rPr>
      </w:pPr>
      <w:r>
        <w:rPr>
          <w:lang w:val="en-US"/>
        </w:rPr>
        <w:t xml:space="preserve">The IAAP was tasked </w:t>
      </w:r>
      <w:r>
        <w:rPr>
          <w:lang w:val="en-GB"/>
        </w:rPr>
        <w:t xml:space="preserve">to investigate and provide advice on an appropriate basis for the allocation of </w:t>
      </w:r>
      <w:r w:rsidR="004E79FD">
        <w:rPr>
          <w:lang w:val="en-GB"/>
        </w:rPr>
        <w:t xml:space="preserve">ITQ </w:t>
      </w:r>
      <w:r w:rsidR="00016BD4">
        <w:rPr>
          <w:lang w:val="en-GB"/>
        </w:rPr>
        <w:t>units</w:t>
      </w:r>
      <w:r>
        <w:rPr>
          <w:lang w:val="en-GB"/>
        </w:rPr>
        <w:t xml:space="preserve"> in respect to certain identified </w:t>
      </w:r>
      <w:r w:rsidR="00016BD4">
        <w:rPr>
          <w:lang w:val="en-GB"/>
        </w:rPr>
        <w:t>p</w:t>
      </w:r>
      <w:r>
        <w:rPr>
          <w:lang w:val="en-GB"/>
        </w:rPr>
        <w:t xml:space="preserve">riority </w:t>
      </w:r>
      <w:r w:rsidR="00016BD4">
        <w:rPr>
          <w:lang w:val="en-GB"/>
        </w:rPr>
        <w:t>s</w:t>
      </w:r>
      <w:r>
        <w:rPr>
          <w:lang w:val="en-GB"/>
        </w:rPr>
        <w:t xml:space="preserve">pecies (King George whiting, snapper, </w:t>
      </w:r>
      <w:r w:rsidR="00016BD4">
        <w:rPr>
          <w:lang w:val="en-GB"/>
        </w:rPr>
        <w:t>s</w:t>
      </w:r>
      <w:r>
        <w:rPr>
          <w:lang w:val="en-GB"/>
        </w:rPr>
        <w:t xml:space="preserve">outhern </w:t>
      </w:r>
      <w:r w:rsidR="00016BD4">
        <w:rPr>
          <w:lang w:val="en-GB"/>
        </w:rPr>
        <w:t>g</w:t>
      </w:r>
      <w:r>
        <w:rPr>
          <w:lang w:val="en-GB"/>
        </w:rPr>
        <w:t xml:space="preserve">arfish and </w:t>
      </w:r>
      <w:r w:rsidR="00016BD4">
        <w:rPr>
          <w:lang w:val="en-GB"/>
        </w:rPr>
        <w:t>s</w:t>
      </w:r>
      <w:r>
        <w:rPr>
          <w:lang w:val="en-GB"/>
        </w:rPr>
        <w:t>outhern calamari</w:t>
      </w:r>
      <w:r w:rsidR="004E79FD">
        <w:rPr>
          <w:lang w:val="en-GB"/>
        </w:rPr>
        <w:t>)</w:t>
      </w:r>
      <w:r>
        <w:rPr>
          <w:lang w:val="en-GB"/>
        </w:rPr>
        <w:t xml:space="preserve"> to individual licence holders in the MSF.</w:t>
      </w:r>
    </w:p>
    <w:p w:rsidR="00831B48" w:rsidRDefault="00831B48" w:rsidP="00936574">
      <w:pPr>
        <w:spacing w:after="120"/>
        <w:rPr>
          <w:lang w:val="en-GB"/>
        </w:rPr>
      </w:pPr>
      <w:r>
        <w:rPr>
          <w:lang w:val="en-GB"/>
        </w:rPr>
        <w:t>In considering and formulating recommendations, the IAAP applied a number of guiding principles and sought to ensure consistency with Government policies and legislation. Central to the IAAP deliberations was to give proper consideration to those who rely on the priority species for their livelihood</w:t>
      </w:r>
      <w:r w:rsidR="00C732CF">
        <w:rPr>
          <w:lang w:val="en-GB"/>
        </w:rPr>
        <w:t>s</w:t>
      </w:r>
      <w:r>
        <w:rPr>
          <w:lang w:val="en-GB"/>
        </w:rPr>
        <w:t xml:space="preserve"> while giving due recognition of historical rights in the fishery. The overarching aim of the IAAP was to minimise differing outcomes to the extent possible and support reform objectives of ensuring the MSF has a resilient and sustainable future.</w:t>
      </w:r>
    </w:p>
    <w:p w:rsidR="00831B48" w:rsidRDefault="00831B48" w:rsidP="00936574">
      <w:pPr>
        <w:spacing w:after="120"/>
        <w:rPr>
          <w:lang w:val="en-GB"/>
        </w:rPr>
      </w:pPr>
      <w:r>
        <w:rPr>
          <w:lang w:val="en-GB"/>
        </w:rPr>
        <w:t>A number of criteria for inclusion in an allocation formula were carefully considered. These included licence holding, catch history, gear endorsement and fishing activity. The</w:t>
      </w:r>
      <w:r w:rsidR="00C732CF">
        <w:rPr>
          <w:lang w:val="en-GB"/>
        </w:rPr>
        <w:t xml:space="preserve"> </w:t>
      </w:r>
      <w:r>
        <w:rPr>
          <w:lang w:val="en-GB"/>
        </w:rPr>
        <w:t>IAAP report describes the consideration of each of these elements and how they could be applied in allocating ITQs.</w:t>
      </w:r>
    </w:p>
    <w:p w:rsidR="00F51D6B" w:rsidRDefault="00F51D6B" w:rsidP="00DB19D9">
      <w:pPr>
        <w:pStyle w:val="Heading2"/>
      </w:pPr>
      <w:bookmarkStart w:id="11" w:name="_Toc47284551"/>
      <w:bookmarkStart w:id="12" w:name="_Toc48141137"/>
      <w:r>
        <w:t>Recommendations</w:t>
      </w:r>
      <w:bookmarkEnd w:id="11"/>
      <w:bookmarkEnd w:id="12"/>
    </w:p>
    <w:p w:rsidR="00F51D6B" w:rsidRDefault="00831B48" w:rsidP="00992AEA">
      <w:pPr>
        <w:spacing w:after="120"/>
        <w:rPr>
          <w:lang w:val="en-GB"/>
        </w:rPr>
      </w:pPr>
      <w:r>
        <w:rPr>
          <w:lang w:val="en-GB"/>
        </w:rPr>
        <w:t>The</w:t>
      </w:r>
      <w:r w:rsidR="00F51D6B">
        <w:rPr>
          <w:lang w:val="en-GB"/>
        </w:rPr>
        <w:t xml:space="preserve"> recommendations from the</w:t>
      </w:r>
      <w:r>
        <w:rPr>
          <w:lang w:val="en-GB"/>
        </w:rPr>
        <w:t xml:space="preserve"> </w:t>
      </w:r>
      <w:r w:rsidR="00C732CF" w:rsidRPr="00992AEA">
        <w:rPr>
          <w:i/>
          <w:lang w:val="en-GB"/>
        </w:rPr>
        <w:t xml:space="preserve">Report of the </w:t>
      </w:r>
      <w:r w:rsidR="009A2314" w:rsidRPr="00992AEA">
        <w:rPr>
          <w:i/>
          <w:lang w:val="en-GB"/>
        </w:rPr>
        <w:t>Independent Allocation Advisory Panel (</w:t>
      </w:r>
      <w:r w:rsidRPr="00992AEA">
        <w:rPr>
          <w:i/>
          <w:lang w:val="en-GB"/>
        </w:rPr>
        <w:t>IAAP</w:t>
      </w:r>
      <w:r w:rsidR="009A2314" w:rsidRPr="00992AEA">
        <w:rPr>
          <w:i/>
          <w:lang w:val="en-GB"/>
        </w:rPr>
        <w:t xml:space="preserve">) on priority species in the Marine </w:t>
      </w:r>
      <w:proofErr w:type="spellStart"/>
      <w:r w:rsidR="009A2314" w:rsidRPr="00992AEA">
        <w:rPr>
          <w:i/>
          <w:lang w:val="en-GB"/>
        </w:rPr>
        <w:t>Scalefish</w:t>
      </w:r>
      <w:proofErr w:type="spellEnd"/>
      <w:r w:rsidR="009A2314" w:rsidRPr="00992AEA">
        <w:rPr>
          <w:i/>
          <w:lang w:val="en-GB"/>
        </w:rPr>
        <w:t xml:space="preserve"> Fishery</w:t>
      </w:r>
      <w:r w:rsidR="00F51D6B">
        <w:rPr>
          <w:i/>
          <w:lang w:val="en-GB"/>
        </w:rPr>
        <w:t xml:space="preserve"> </w:t>
      </w:r>
      <w:r w:rsidR="00F51D6B" w:rsidRPr="00DB19D9">
        <w:rPr>
          <w:lang w:val="en-GB"/>
        </w:rPr>
        <w:t>(Preliminary Report)</w:t>
      </w:r>
      <w:r>
        <w:rPr>
          <w:lang w:val="en-GB"/>
        </w:rPr>
        <w:t xml:space="preserve"> </w:t>
      </w:r>
      <w:r w:rsidR="00F51D6B">
        <w:rPr>
          <w:lang w:val="en-GB"/>
        </w:rPr>
        <w:t>are:</w:t>
      </w:r>
    </w:p>
    <w:p w:rsidR="00831B48" w:rsidRPr="00F51D6B" w:rsidRDefault="00F51D6B" w:rsidP="00EB5C4C">
      <w:pPr>
        <w:spacing w:line="257" w:lineRule="auto"/>
        <w:rPr>
          <w:bCs/>
        </w:rPr>
      </w:pPr>
      <w:r>
        <w:rPr>
          <w:b/>
          <w:bCs/>
        </w:rPr>
        <w:t xml:space="preserve">Recommendation 1: </w:t>
      </w:r>
      <w:r w:rsidR="00831B48" w:rsidRPr="00F51D6B">
        <w:rPr>
          <w:bCs/>
        </w:rPr>
        <w:t>Two criteria should be included in any MSF ITQ allocation formula:</w:t>
      </w:r>
    </w:p>
    <w:p w:rsidR="00831B48" w:rsidRPr="00DB19D9" w:rsidRDefault="00831B48" w:rsidP="00EB5C4C">
      <w:pPr>
        <w:pStyle w:val="ListParagraph"/>
        <w:numPr>
          <w:ilvl w:val="1"/>
          <w:numId w:val="17"/>
        </w:numPr>
        <w:spacing w:line="257" w:lineRule="auto"/>
        <w:ind w:left="1134" w:hanging="425"/>
        <w:contextualSpacing w:val="0"/>
        <w:rPr>
          <w:bCs/>
        </w:rPr>
      </w:pPr>
      <w:r w:rsidRPr="00DB19D9">
        <w:rPr>
          <w:bCs/>
        </w:rPr>
        <w:t>Licence holding (base allocation)</w:t>
      </w:r>
      <w:r w:rsidR="00037241">
        <w:rPr>
          <w:bCs/>
        </w:rPr>
        <w:t>;</w:t>
      </w:r>
      <w:r w:rsidRPr="00DB19D9">
        <w:rPr>
          <w:bCs/>
        </w:rPr>
        <w:t xml:space="preserve"> and</w:t>
      </w:r>
    </w:p>
    <w:p w:rsidR="00831B48" w:rsidRPr="00DB19D9" w:rsidRDefault="00831B48" w:rsidP="00C70060">
      <w:pPr>
        <w:pStyle w:val="ListParagraph"/>
        <w:numPr>
          <w:ilvl w:val="1"/>
          <w:numId w:val="17"/>
        </w:numPr>
        <w:spacing w:after="160" w:line="256" w:lineRule="auto"/>
        <w:ind w:left="1134" w:hanging="425"/>
        <w:contextualSpacing w:val="0"/>
        <w:rPr>
          <w:bCs/>
        </w:rPr>
      </w:pPr>
      <w:r w:rsidRPr="00DB19D9">
        <w:rPr>
          <w:bCs/>
        </w:rPr>
        <w:t>Catch history.</w:t>
      </w:r>
    </w:p>
    <w:p w:rsidR="00831B48" w:rsidRPr="00F51D6B" w:rsidRDefault="00F51D6B" w:rsidP="00DB19D9">
      <w:pPr>
        <w:spacing w:after="160" w:line="256" w:lineRule="auto"/>
        <w:rPr>
          <w:bCs/>
        </w:rPr>
      </w:pPr>
      <w:r>
        <w:rPr>
          <w:b/>
          <w:bCs/>
        </w:rPr>
        <w:t xml:space="preserve">Recommendation 2: </w:t>
      </w:r>
      <w:r w:rsidR="00831B48" w:rsidRPr="00F51D6B">
        <w:rPr>
          <w:bCs/>
        </w:rPr>
        <w:t>Relative market values of licences from the 2019 BDO Report should be used to determine the base allocation by licence type (net/line; amalgamated/</w:t>
      </w:r>
      <w:r w:rsidR="00F90023">
        <w:rPr>
          <w:bCs/>
        </w:rPr>
        <w:t>un-</w:t>
      </w:r>
      <w:r w:rsidR="00831B48" w:rsidRPr="00F51D6B">
        <w:rPr>
          <w:bCs/>
        </w:rPr>
        <w:t>amalgamated).</w:t>
      </w:r>
    </w:p>
    <w:p w:rsidR="00831B48" w:rsidRPr="00DB19D9" w:rsidRDefault="00F51D6B" w:rsidP="00DB19D9">
      <w:pPr>
        <w:spacing w:after="160" w:line="256" w:lineRule="auto"/>
        <w:rPr>
          <w:b/>
          <w:bCs/>
        </w:rPr>
      </w:pPr>
      <w:r>
        <w:rPr>
          <w:b/>
          <w:bCs/>
        </w:rPr>
        <w:lastRenderedPageBreak/>
        <w:t xml:space="preserve">Recommendation 3: </w:t>
      </w:r>
      <w:r w:rsidR="00831B48" w:rsidRPr="00F51D6B">
        <w:rPr>
          <w:bCs/>
        </w:rPr>
        <w:t xml:space="preserve">A proportion of the </w:t>
      </w:r>
      <w:r w:rsidR="00037241">
        <w:rPr>
          <w:bCs/>
        </w:rPr>
        <w:t>total allowable commercial catch (</w:t>
      </w:r>
      <w:r w:rsidR="00831B48" w:rsidRPr="00F51D6B">
        <w:rPr>
          <w:bCs/>
        </w:rPr>
        <w:t>TACC</w:t>
      </w:r>
      <w:r w:rsidR="00037241">
        <w:rPr>
          <w:bCs/>
        </w:rPr>
        <w:t>)</w:t>
      </w:r>
      <w:r w:rsidR="00831B48" w:rsidRPr="00F51D6B">
        <w:rPr>
          <w:bCs/>
        </w:rPr>
        <w:t xml:space="preserve"> should be allocated to all eligible MSF licences </w:t>
      </w:r>
      <w:r w:rsidR="00F90023">
        <w:rPr>
          <w:bCs/>
        </w:rPr>
        <w:t>S</w:t>
      </w:r>
      <w:r w:rsidR="00831B48" w:rsidRPr="00F51D6B">
        <w:rPr>
          <w:bCs/>
        </w:rPr>
        <w:t>tate-wide as a base allocation</w:t>
      </w:r>
      <w:r w:rsidR="00037241">
        <w:rPr>
          <w:bCs/>
        </w:rPr>
        <w:t>.</w:t>
      </w:r>
    </w:p>
    <w:p w:rsidR="00831B48" w:rsidRPr="00F51D6B" w:rsidRDefault="00F51D6B" w:rsidP="00EB5C4C">
      <w:pPr>
        <w:spacing w:line="257" w:lineRule="auto"/>
        <w:rPr>
          <w:bCs/>
        </w:rPr>
      </w:pPr>
      <w:r>
        <w:rPr>
          <w:b/>
          <w:bCs/>
        </w:rPr>
        <w:t xml:space="preserve">Recommendation 4: </w:t>
      </w:r>
      <w:r w:rsidR="00831B48" w:rsidRPr="00F51D6B">
        <w:rPr>
          <w:bCs/>
        </w:rPr>
        <w:t>Each licence holding category should receive a proportion of this allocation based on their relative value of their licences, where</w:t>
      </w:r>
    </w:p>
    <w:p w:rsidR="00F90023" w:rsidRDefault="00831B48" w:rsidP="00EB5C4C">
      <w:pPr>
        <w:pStyle w:val="ListParagraph"/>
        <w:numPr>
          <w:ilvl w:val="0"/>
          <w:numId w:val="32"/>
        </w:numPr>
        <w:spacing w:line="257" w:lineRule="auto"/>
        <w:contextualSpacing w:val="0"/>
        <w:rPr>
          <w:bCs/>
        </w:rPr>
      </w:pPr>
      <w:r w:rsidRPr="00DB19D9">
        <w:rPr>
          <w:bCs/>
        </w:rPr>
        <w:t>Amalgamated Net = x</w:t>
      </w:r>
    </w:p>
    <w:p w:rsidR="00F90023" w:rsidRDefault="00831B48" w:rsidP="00EB5C4C">
      <w:pPr>
        <w:pStyle w:val="ListParagraph"/>
        <w:numPr>
          <w:ilvl w:val="0"/>
          <w:numId w:val="32"/>
        </w:numPr>
        <w:spacing w:line="257" w:lineRule="auto"/>
        <w:contextualSpacing w:val="0"/>
        <w:rPr>
          <w:bCs/>
        </w:rPr>
      </w:pPr>
      <w:r w:rsidRPr="00F90023">
        <w:rPr>
          <w:bCs/>
        </w:rPr>
        <w:t>Amalga</w:t>
      </w:r>
      <w:r w:rsidR="004E79FD" w:rsidRPr="00F90023">
        <w:rPr>
          <w:bCs/>
        </w:rPr>
        <w:t>mated L</w:t>
      </w:r>
      <w:r w:rsidRPr="00F90023">
        <w:rPr>
          <w:bCs/>
        </w:rPr>
        <w:t>ine = y</w:t>
      </w:r>
    </w:p>
    <w:p w:rsidR="00F90023" w:rsidRDefault="00831B48" w:rsidP="00EB5C4C">
      <w:pPr>
        <w:pStyle w:val="ListParagraph"/>
        <w:numPr>
          <w:ilvl w:val="0"/>
          <w:numId w:val="32"/>
        </w:numPr>
        <w:spacing w:line="257" w:lineRule="auto"/>
        <w:contextualSpacing w:val="0"/>
        <w:rPr>
          <w:bCs/>
        </w:rPr>
      </w:pPr>
      <w:r w:rsidRPr="00F90023">
        <w:rPr>
          <w:bCs/>
        </w:rPr>
        <w:t>Un-amalgamated Net = x/2</w:t>
      </w:r>
    </w:p>
    <w:p w:rsidR="00831B48" w:rsidRPr="00F90023" w:rsidRDefault="00831B48" w:rsidP="00F90023">
      <w:pPr>
        <w:pStyle w:val="ListParagraph"/>
        <w:numPr>
          <w:ilvl w:val="0"/>
          <w:numId w:val="32"/>
        </w:numPr>
        <w:spacing w:after="160" w:line="256" w:lineRule="auto"/>
        <w:contextualSpacing w:val="0"/>
        <w:rPr>
          <w:bCs/>
        </w:rPr>
      </w:pPr>
      <w:r w:rsidRPr="00F90023">
        <w:rPr>
          <w:bCs/>
        </w:rPr>
        <w:t>Un-amalgamated Line = y/2.</w:t>
      </w:r>
    </w:p>
    <w:p w:rsidR="00831B48" w:rsidRPr="00DB19D9" w:rsidRDefault="00F51D6B" w:rsidP="00DB19D9">
      <w:pPr>
        <w:spacing w:after="160" w:line="256" w:lineRule="auto"/>
        <w:rPr>
          <w:b/>
          <w:bCs/>
        </w:rPr>
      </w:pPr>
      <w:r>
        <w:rPr>
          <w:b/>
          <w:bCs/>
        </w:rPr>
        <w:t xml:space="preserve">Recommendation 5: </w:t>
      </w:r>
      <w:r w:rsidR="00831B48" w:rsidRPr="00F51D6B">
        <w:rPr>
          <w:bCs/>
        </w:rPr>
        <w:t>The 2016 investment/catch history Fisheries Notice warning should stand. The period of six years (1 July 2010 to 30 June 2016) is an appropriate reference period.</w:t>
      </w:r>
    </w:p>
    <w:p w:rsidR="00831B48" w:rsidRPr="00F51D6B" w:rsidRDefault="00F51D6B" w:rsidP="00DB19D9">
      <w:pPr>
        <w:spacing w:after="160" w:line="256" w:lineRule="auto"/>
        <w:rPr>
          <w:bCs/>
        </w:rPr>
      </w:pPr>
      <w:r>
        <w:rPr>
          <w:b/>
          <w:bCs/>
        </w:rPr>
        <w:t xml:space="preserve">Recommendation 6: </w:t>
      </w:r>
      <w:r w:rsidR="00831B48" w:rsidRPr="00F51D6B">
        <w:rPr>
          <w:bCs/>
        </w:rPr>
        <w:t>The highest 5 years catch from the 6 years should be used to calculate catch history pe</w:t>
      </w:r>
      <w:r w:rsidR="00016BD4" w:rsidRPr="00F51D6B">
        <w:rPr>
          <w:bCs/>
        </w:rPr>
        <w:t>r</w:t>
      </w:r>
      <w:r w:rsidR="00831B48" w:rsidRPr="00F51D6B">
        <w:rPr>
          <w:bCs/>
        </w:rPr>
        <w:t>iods to account for low or no catch due to personal circumstances.</w:t>
      </w:r>
    </w:p>
    <w:p w:rsidR="00831B48" w:rsidRPr="00DB19D9" w:rsidRDefault="00F51D6B" w:rsidP="00DB19D9">
      <w:pPr>
        <w:spacing w:after="160" w:line="256" w:lineRule="auto"/>
        <w:rPr>
          <w:b/>
          <w:bCs/>
        </w:rPr>
      </w:pPr>
      <w:r>
        <w:rPr>
          <w:b/>
          <w:bCs/>
        </w:rPr>
        <w:t xml:space="preserve">Recommendation 7: </w:t>
      </w:r>
      <w:r w:rsidR="00831B48" w:rsidRPr="00F51D6B">
        <w:rPr>
          <w:bCs/>
        </w:rPr>
        <w:t>There should be no minimum catch history threshold.</w:t>
      </w:r>
    </w:p>
    <w:p w:rsidR="00831B48" w:rsidRPr="00DB19D9" w:rsidRDefault="00F51D6B" w:rsidP="00DB19D9">
      <w:pPr>
        <w:spacing w:after="160" w:line="256" w:lineRule="auto"/>
        <w:rPr>
          <w:b/>
          <w:bCs/>
        </w:rPr>
      </w:pPr>
      <w:r>
        <w:rPr>
          <w:b/>
          <w:bCs/>
        </w:rPr>
        <w:t xml:space="preserve">Recommendation 8: </w:t>
      </w:r>
      <w:r w:rsidR="00831B48" w:rsidRPr="00F51D6B">
        <w:rPr>
          <w:bCs/>
        </w:rPr>
        <w:t xml:space="preserve">Catch history of licence holders </w:t>
      </w:r>
      <w:r w:rsidR="00037241">
        <w:rPr>
          <w:bCs/>
        </w:rPr>
        <w:t>participating in the V</w:t>
      </w:r>
      <w:r w:rsidR="00831B48" w:rsidRPr="00F51D6B">
        <w:rPr>
          <w:bCs/>
        </w:rPr>
        <w:t xml:space="preserve">oluntary </w:t>
      </w:r>
      <w:r w:rsidR="00037241">
        <w:rPr>
          <w:bCs/>
        </w:rPr>
        <w:t>L</w:t>
      </w:r>
      <w:r w:rsidR="00831B48" w:rsidRPr="00F51D6B">
        <w:rPr>
          <w:bCs/>
        </w:rPr>
        <w:t xml:space="preserve">icence </w:t>
      </w:r>
      <w:r w:rsidR="00037241">
        <w:rPr>
          <w:bCs/>
        </w:rPr>
        <w:t>S</w:t>
      </w:r>
      <w:r w:rsidR="00831B48" w:rsidRPr="00F51D6B">
        <w:rPr>
          <w:bCs/>
        </w:rPr>
        <w:t xml:space="preserve">urrender </w:t>
      </w:r>
      <w:r w:rsidR="00037241">
        <w:rPr>
          <w:bCs/>
        </w:rPr>
        <w:t>P</w:t>
      </w:r>
      <w:r w:rsidR="00831B48" w:rsidRPr="00F51D6B">
        <w:rPr>
          <w:bCs/>
        </w:rPr>
        <w:t>rogram should be ‘returned’ to the overall quota pool for allocation amongst all eligible licence holders.</w:t>
      </w:r>
    </w:p>
    <w:p w:rsidR="00831B48" w:rsidRPr="00DB19D9" w:rsidRDefault="00F51D6B" w:rsidP="00DB19D9">
      <w:pPr>
        <w:spacing w:after="160" w:line="256" w:lineRule="auto"/>
        <w:rPr>
          <w:b/>
          <w:bCs/>
        </w:rPr>
      </w:pPr>
      <w:r>
        <w:rPr>
          <w:b/>
          <w:bCs/>
        </w:rPr>
        <w:t xml:space="preserve">Recommendation 9: </w:t>
      </w:r>
      <w:r w:rsidR="00831B48" w:rsidRPr="00F51D6B">
        <w:rPr>
          <w:bCs/>
        </w:rPr>
        <w:t>Catch history and base entitlement should be weighted 80:20.</w:t>
      </w:r>
    </w:p>
    <w:p w:rsidR="00831B48" w:rsidRPr="00DB19D9" w:rsidRDefault="00F51D6B" w:rsidP="00DB19D9">
      <w:pPr>
        <w:spacing w:after="160" w:line="256" w:lineRule="auto"/>
        <w:rPr>
          <w:b/>
          <w:bCs/>
        </w:rPr>
      </w:pPr>
      <w:r>
        <w:rPr>
          <w:b/>
          <w:bCs/>
        </w:rPr>
        <w:t xml:space="preserve">Recommendation 10: </w:t>
      </w:r>
      <w:r w:rsidR="00831B48" w:rsidRPr="00F51D6B">
        <w:rPr>
          <w:bCs/>
        </w:rPr>
        <w:t xml:space="preserve">ITQs for priority species should be allocated to Option C endorsed licence holders in the rock lobster fisheries on catch history only </w:t>
      </w:r>
      <w:r w:rsidR="000D733C">
        <w:rPr>
          <w:bCs/>
        </w:rPr>
        <w:t xml:space="preserve">above a minimum catch of 50 kg </w:t>
      </w:r>
      <w:r w:rsidR="00831B48" w:rsidRPr="00F51D6B">
        <w:rPr>
          <w:bCs/>
        </w:rPr>
        <w:t xml:space="preserve">using the same reference period as MSF </w:t>
      </w:r>
      <w:r w:rsidR="00016BD4" w:rsidRPr="00F51D6B">
        <w:rPr>
          <w:bCs/>
        </w:rPr>
        <w:t>l</w:t>
      </w:r>
      <w:r w:rsidR="00831B48" w:rsidRPr="00F51D6B">
        <w:rPr>
          <w:bCs/>
        </w:rPr>
        <w:t>icences.</w:t>
      </w:r>
    </w:p>
    <w:p w:rsidR="00831B48" w:rsidRPr="00DB19D9" w:rsidRDefault="00F51D6B" w:rsidP="00DB19D9">
      <w:pPr>
        <w:spacing w:after="160" w:line="256" w:lineRule="auto"/>
        <w:rPr>
          <w:b/>
          <w:bCs/>
        </w:rPr>
      </w:pPr>
      <w:r>
        <w:rPr>
          <w:b/>
          <w:bCs/>
        </w:rPr>
        <w:t xml:space="preserve">Recommendation 11: </w:t>
      </w:r>
      <w:r w:rsidR="00831B48" w:rsidRPr="00F51D6B">
        <w:rPr>
          <w:bCs/>
        </w:rPr>
        <w:t>No ITQs for priority species should be allocated to the Spencer Gulf, Gulf St Vincent and West Coast prawn fisheries.</w:t>
      </w:r>
    </w:p>
    <w:p w:rsidR="00831B48" w:rsidRPr="00F51D6B" w:rsidRDefault="00F51D6B" w:rsidP="00DB19D9">
      <w:pPr>
        <w:spacing w:after="160" w:line="256" w:lineRule="auto"/>
        <w:rPr>
          <w:bCs/>
        </w:rPr>
      </w:pPr>
      <w:r>
        <w:rPr>
          <w:b/>
          <w:bCs/>
        </w:rPr>
        <w:t xml:space="preserve">Recommendation 12: </w:t>
      </w:r>
      <w:r w:rsidR="00831B48" w:rsidRPr="00F51D6B">
        <w:rPr>
          <w:bCs/>
        </w:rPr>
        <w:t xml:space="preserve">No ITQs for MSF priority species should be allocated to MSF endorsed licence holders in the Lakes and Coorong Fishery.   </w:t>
      </w:r>
    </w:p>
    <w:p w:rsidR="00F51D6B" w:rsidRDefault="00F51D6B" w:rsidP="00C70060">
      <w:pPr>
        <w:rPr>
          <w:lang w:val="en-GB"/>
        </w:rPr>
      </w:pPr>
      <w:r>
        <w:rPr>
          <w:lang w:val="en-GB"/>
        </w:rPr>
        <w:t xml:space="preserve">You can read the full </w:t>
      </w:r>
      <w:r w:rsidR="00EB5C4C">
        <w:rPr>
          <w:lang w:val="en-GB"/>
        </w:rPr>
        <w:t>r</w:t>
      </w:r>
      <w:r>
        <w:rPr>
          <w:lang w:val="en-GB"/>
        </w:rPr>
        <w:t xml:space="preserve">eport at </w:t>
      </w:r>
      <w:r w:rsidR="00E62B0F">
        <w:rPr>
          <w:lang w:val="en-GB"/>
        </w:rPr>
        <w:fldChar w:fldCharType="begin"/>
      </w:r>
      <w:r w:rsidR="00E62B0F">
        <w:rPr>
          <w:lang w:val="en-GB"/>
        </w:rPr>
        <w:instrText xml:space="preserve"> REF _Ref48220975 \h </w:instrText>
      </w:r>
      <w:r w:rsidR="00E62B0F">
        <w:rPr>
          <w:lang w:val="en-GB"/>
        </w:rPr>
      </w:r>
      <w:r w:rsidR="00E62B0F">
        <w:rPr>
          <w:lang w:val="en-GB"/>
        </w:rPr>
        <w:fldChar w:fldCharType="separate"/>
      </w:r>
      <w:r w:rsidR="00A71297">
        <w:t xml:space="preserve">Appendix A: Report of the Independent Allocation Advisory Panel (IAAP) on priority species in the Marine </w:t>
      </w:r>
      <w:proofErr w:type="spellStart"/>
      <w:r w:rsidR="00A71297">
        <w:t>Scalefish</w:t>
      </w:r>
      <w:proofErr w:type="spellEnd"/>
      <w:r w:rsidR="00A71297">
        <w:t xml:space="preserve"> Fishery</w:t>
      </w:r>
      <w:r w:rsidR="00E62B0F">
        <w:rPr>
          <w:lang w:val="en-GB"/>
        </w:rPr>
        <w:fldChar w:fldCharType="end"/>
      </w:r>
      <w:r>
        <w:rPr>
          <w:lang w:val="en-GB"/>
        </w:rPr>
        <w:t>.</w:t>
      </w:r>
    </w:p>
    <w:p w:rsidR="00F51D6B" w:rsidRPr="00976BB0" w:rsidRDefault="00CE0999" w:rsidP="00DB19D9">
      <w:pPr>
        <w:pStyle w:val="Heading2"/>
      </w:pPr>
      <w:bookmarkStart w:id="13" w:name="_Toc47284552"/>
      <w:bookmarkStart w:id="14" w:name="_Toc48141138"/>
      <w:r w:rsidRPr="00976BB0">
        <w:t>Points of clarification</w:t>
      </w:r>
      <w:bookmarkEnd w:id="13"/>
      <w:bookmarkEnd w:id="14"/>
    </w:p>
    <w:p w:rsidR="00016BD4" w:rsidRDefault="00F51D6B" w:rsidP="00C70060">
      <w:pPr>
        <w:rPr>
          <w:lang w:val="en-GB"/>
        </w:rPr>
      </w:pPr>
      <w:r>
        <w:rPr>
          <w:lang w:val="en-GB"/>
        </w:rPr>
        <w:t xml:space="preserve">It is clear from the </w:t>
      </w:r>
      <w:r w:rsidR="00C6443B">
        <w:rPr>
          <w:lang w:val="en-GB"/>
        </w:rPr>
        <w:t>IAAP</w:t>
      </w:r>
      <w:r w:rsidR="00CE0999">
        <w:rPr>
          <w:lang w:val="en-GB"/>
        </w:rPr>
        <w:t xml:space="preserve"> </w:t>
      </w:r>
      <w:r w:rsidR="00C6443B">
        <w:rPr>
          <w:lang w:val="en-GB"/>
        </w:rPr>
        <w:t>r</w:t>
      </w:r>
      <w:r w:rsidR="00CE0999">
        <w:rPr>
          <w:lang w:val="en-GB"/>
        </w:rPr>
        <w:t xml:space="preserve">eport </w:t>
      </w:r>
      <w:r>
        <w:rPr>
          <w:lang w:val="en-GB"/>
        </w:rPr>
        <w:t>recommendations that for</w:t>
      </w:r>
      <w:r w:rsidR="00016BD4">
        <w:rPr>
          <w:lang w:val="en-GB"/>
        </w:rPr>
        <w:t xml:space="preserve"> the MSF, 20% of all quota units for the priority species in each zone </w:t>
      </w:r>
      <w:r w:rsidR="009A2314">
        <w:rPr>
          <w:lang w:val="en-GB"/>
        </w:rPr>
        <w:t>would be</w:t>
      </w:r>
      <w:r w:rsidR="00016BD4">
        <w:rPr>
          <w:lang w:val="en-GB"/>
        </w:rPr>
        <w:t xml:space="preserve"> allocated </w:t>
      </w:r>
      <w:r w:rsidR="009A2314">
        <w:rPr>
          <w:lang w:val="en-GB"/>
        </w:rPr>
        <w:t>between</w:t>
      </w:r>
      <w:r w:rsidR="00016BD4">
        <w:rPr>
          <w:lang w:val="en-GB"/>
        </w:rPr>
        <w:t xml:space="preserve"> all </w:t>
      </w:r>
      <w:r w:rsidR="004E79FD">
        <w:rPr>
          <w:lang w:val="en-GB"/>
        </w:rPr>
        <w:t xml:space="preserve">MSF </w:t>
      </w:r>
      <w:r w:rsidR="00016BD4">
        <w:rPr>
          <w:lang w:val="en-GB"/>
        </w:rPr>
        <w:t xml:space="preserve">licence holders, with un-amalgamated licences receiving half as much as an amalgamated licence. The remaining 80% of quota units </w:t>
      </w:r>
      <w:r w:rsidR="009A2314">
        <w:rPr>
          <w:lang w:val="en-GB"/>
        </w:rPr>
        <w:t>would be</w:t>
      </w:r>
      <w:r w:rsidR="00016BD4">
        <w:rPr>
          <w:lang w:val="en-GB"/>
        </w:rPr>
        <w:t xml:space="preserve"> allocated according to the licence holders’ proportional share of catch for each species in each zone (regardless of amalgamation status), based on the best 5 years of catch</w:t>
      </w:r>
      <w:r w:rsidR="009A2314">
        <w:rPr>
          <w:lang w:val="en-GB"/>
        </w:rPr>
        <w:t xml:space="preserve"> history</w:t>
      </w:r>
      <w:r w:rsidR="00016BD4">
        <w:rPr>
          <w:lang w:val="en-GB"/>
        </w:rPr>
        <w:t xml:space="preserve"> over the period 1 July 2010 to 30 June 2016.</w:t>
      </w:r>
    </w:p>
    <w:p w:rsidR="00016BD4" w:rsidRDefault="00016BD4" w:rsidP="00C70060">
      <w:pPr>
        <w:rPr>
          <w:lang w:val="en-GB"/>
        </w:rPr>
      </w:pPr>
    </w:p>
    <w:p w:rsidR="00016BD4" w:rsidRDefault="00C6443B" w:rsidP="00C70060">
      <w:pPr>
        <w:rPr>
          <w:lang w:val="en-GB"/>
        </w:rPr>
      </w:pPr>
      <w:r>
        <w:rPr>
          <w:lang w:val="en-GB"/>
        </w:rPr>
        <w:t>Those licence holders in the rock lobster fisheries (with Option C) with catch of 50 kg or more of any individual quota species using the same reference period would receive an ITQ allocation based on their individual catch history only</w:t>
      </w:r>
      <w:r w:rsidR="00016BD4">
        <w:rPr>
          <w:lang w:val="en-GB"/>
        </w:rPr>
        <w:t xml:space="preserve">, </w:t>
      </w:r>
      <w:r w:rsidR="009A2314">
        <w:rPr>
          <w:lang w:val="en-GB"/>
        </w:rPr>
        <w:t>from within the rock lobster fisher</w:t>
      </w:r>
      <w:r w:rsidR="00D37FD6">
        <w:rPr>
          <w:lang w:val="en-GB"/>
        </w:rPr>
        <w:t>ies’ proportional</w:t>
      </w:r>
      <w:r w:rsidR="009A2314">
        <w:rPr>
          <w:lang w:val="en-GB"/>
        </w:rPr>
        <w:t xml:space="preserve"> shares formally allocated by the</w:t>
      </w:r>
      <w:r w:rsidR="00C2268A">
        <w:rPr>
          <w:lang w:val="en-GB"/>
        </w:rPr>
        <w:t xml:space="preserve"> </w:t>
      </w:r>
      <w:hyperlink r:id="rId16" w:history="1">
        <w:r w:rsidR="00C2268A" w:rsidRPr="00992AEA">
          <w:rPr>
            <w:rStyle w:val="Hyperlink"/>
            <w:i/>
          </w:rPr>
          <w:t>Management Plan for the South Australian Commercial MSF</w:t>
        </w:r>
      </w:hyperlink>
      <w:r w:rsidR="00C2268A">
        <w:rPr>
          <w:lang w:val="en-GB"/>
        </w:rPr>
        <w:t>.</w:t>
      </w:r>
      <w:r w:rsidR="009A2314">
        <w:rPr>
          <w:lang w:val="en-GB"/>
        </w:rPr>
        <w:t xml:space="preserve"> </w:t>
      </w:r>
      <w:r w:rsidR="00C2268A">
        <w:rPr>
          <w:lang w:val="en-GB"/>
        </w:rPr>
        <w:t>N</w:t>
      </w:r>
      <w:r w:rsidR="00016BD4">
        <w:rPr>
          <w:lang w:val="en-GB"/>
        </w:rPr>
        <w:t>o ITQ</w:t>
      </w:r>
      <w:r w:rsidR="009A2314">
        <w:rPr>
          <w:lang w:val="en-GB"/>
        </w:rPr>
        <w:t>s</w:t>
      </w:r>
      <w:r w:rsidR="00016BD4">
        <w:rPr>
          <w:lang w:val="en-GB"/>
        </w:rPr>
        <w:t xml:space="preserve"> </w:t>
      </w:r>
      <w:r w:rsidR="009A2314">
        <w:rPr>
          <w:lang w:val="en-GB"/>
        </w:rPr>
        <w:t>would</w:t>
      </w:r>
      <w:r w:rsidR="00016BD4">
        <w:rPr>
          <w:lang w:val="en-GB"/>
        </w:rPr>
        <w:t xml:space="preserve"> be allocated for southern calamari in the prawn fisheries or </w:t>
      </w:r>
      <w:r w:rsidR="009A2314">
        <w:rPr>
          <w:lang w:val="en-GB"/>
        </w:rPr>
        <w:t xml:space="preserve">for </w:t>
      </w:r>
      <w:r w:rsidR="00016BD4">
        <w:rPr>
          <w:lang w:val="en-GB"/>
        </w:rPr>
        <w:t xml:space="preserve">snapper in the Lakes </w:t>
      </w:r>
      <w:r w:rsidR="009A2314">
        <w:rPr>
          <w:lang w:val="en-GB"/>
        </w:rPr>
        <w:t>and</w:t>
      </w:r>
      <w:r w:rsidR="00016BD4">
        <w:rPr>
          <w:lang w:val="en-GB"/>
        </w:rPr>
        <w:t xml:space="preserve"> Coorong Fishery.</w:t>
      </w:r>
    </w:p>
    <w:p w:rsidR="00CE0999" w:rsidRDefault="00CE0999" w:rsidP="00037241">
      <w:pPr>
        <w:pStyle w:val="Heading2"/>
      </w:pPr>
      <w:bookmarkStart w:id="15" w:name="_Toc47284553"/>
      <w:bookmarkStart w:id="16" w:name="_Toc48141139"/>
      <w:r>
        <w:lastRenderedPageBreak/>
        <w:t xml:space="preserve">Indicative allocations to </w:t>
      </w:r>
      <w:proofErr w:type="spellStart"/>
      <w:r>
        <w:t>licence</w:t>
      </w:r>
      <w:proofErr w:type="spellEnd"/>
      <w:r>
        <w:t xml:space="preserve"> holders</w:t>
      </w:r>
      <w:bookmarkEnd w:id="15"/>
      <w:bookmarkEnd w:id="16"/>
    </w:p>
    <w:p w:rsidR="00016BD4" w:rsidRDefault="00CE0999" w:rsidP="00C70060">
      <w:pPr>
        <w:rPr>
          <w:lang w:val="en-GB"/>
        </w:rPr>
      </w:pPr>
      <w:r>
        <w:rPr>
          <w:lang w:val="en-GB"/>
        </w:rPr>
        <w:t xml:space="preserve">In late August, </w:t>
      </w:r>
      <w:r w:rsidR="00016BD4">
        <w:rPr>
          <w:lang w:val="en-GB"/>
        </w:rPr>
        <w:t xml:space="preserve">PIRSA will notify </w:t>
      </w:r>
      <w:r w:rsidR="00D37FD6">
        <w:rPr>
          <w:lang w:val="en-GB"/>
        </w:rPr>
        <w:t>each</w:t>
      </w:r>
      <w:r w:rsidR="00016BD4">
        <w:rPr>
          <w:lang w:val="en-GB"/>
        </w:rPr>
        <w:t xml:space="preserve"> licence holder in the MSF and rock lobster fisheries what their indicative </w:t>
      </w:r>
      <w:r>
        <w:rPr>
          <w:lang w:val="en-GB"/>
        </w:rPr>
        <w:t xml:space="preserve">quota </w:t>
      </w:r>
      <w:r w:rsidR="00016BD4">
        <w:rPr>
          <w:lang w:val="en-GB"/>
        </w:rPr>
        <w:t xml:space="preserve">allocation would be if these formulae </w:t>
      </w:r>
      <w:r w:rsidR="00D37FD6">
        <w:rPr>
          <w:lang w:val="en-GB"/>
        </w:rPr>
        <w:t>were adopted and applied</w:t>
      </w:r>
      <w:r w:rsidR="00016BD4">
        <w:rPr>
          <w:lang w:val="en-GB"/>
        </w:rPr>
        <w:t xml:space="preserve"> to licences as at 1 August 2020. This allocation will be indicative only and will change as more MSF licences are surrendered. A </w:t>
      </w:r>
      <w:r w:rsidR="00D37FD6">
        <w:rPr>
          <w:lang w:val="en-GB"/>
        </w:rPr>
        <w:t>revised indicative allocation</w:t>
      </w:r>
      <w:r w:rsidR="00016BD4">
        <w:rPr>
          <w:lang w:val="en-GB"/>
        </w:rPr>
        <w:t xml:space="preserve"> </w:t>
      </w:r>
      <w:r w:rsidR="004E79FD">
        <w:rPr>
          <w:lang w:val="en-GB"/>
        </w:rPr>
        <w:t>will</w:t>
      </w:r>
      <w:r w:rsidR="00D37FD6">
        <w:rPr>
          <w:lang w:val="en-GB"/>
        </w:rPr>
        <w:t xml:space="preserve"> be provided to licence holders</w:t>
      </w:r>
      <w:r w:rsidR="00016BD4">
        <w:rPr>
          <w:lang w:val="en-GB"/>
        </w:rPr>
        <w:t xml:space="preserve"> </w:t>
      </w:r>
      <w:r w:rsidR="0076673B">
        <w:rPr>
          <w:lang w:val="en-GB"/>
        </w:rPr>
        <w:t xml:space="preserve">before </w:t>
      </w:r>
      <w:r w:rsidR="00016BD4">
        <w:rPr>
          <w:lang w:val="en-GB"/>
        </w:rPr>
        <w:t xml:space="preserve">the </w:t>
      </w:r>
      <w:r w:rsidR="00D37FD6">
        <w:rPr>
          <w:lang w:val="en-GB"/>
        </w:rPr>
        <w:t>V</w:t>
      </w:r>
      <w:r w:rsidR="00016BD4">
        <w:rPr>
          <w:lang w:val="en-GB"/>
        </w:rPr>
        <w:t xml:space="preserve">oluntary </w:t>
      </w:r>
      <w:r w:rsidR="00D37FD6">
        <w:rPr>
          <w:lang w:val="en-GB"/>
        </w:rPr>
        <w:t>L</w:t>
      </w:r>
      <w:r w:rsidR="00016BD4">
        <w:rPr>
          <w:lang w:val="en-GB"/>
        </w:rPr>
        <w:t xml:space="preserve">icence </w:t>
      </w:r>
      <w:r w:rsidR="00D37FD6">
        <w:rPr>
          <w:lang w:val="en-GB"/>
        </w:rPr>
        <w:t>S</w:t>
      </w:r>
      <w:r w:rsidR="00016BD4">
        <w:rPr>
          <w:lang w:val="en-GB"/>
        </w:rPr>
        <w:t xml:space="preserve">urrender </w:t>
      </w:r>
      <w:r w:rsidR="00D37FD6">
        <w:rPr>
          <w:lang w:val="en-GB"/>
        </w:rPr>
        <w:t>P</w:t>
      </w:r>
      <w:r w:rsidR="00016BD4">
        <w:rPr>
          <w:lang w:val="en-GB"/>
        </w:rPr>
        <w:t>rogram</w:t>
      </w:r>
      <w:r w:rsidR="0076673B">
        <w:rPr>
          <w:lang w:val="en-GB"/>
        </w:rPr>
        <w:t xml:space="preserve"> closes in November 2020</w:t>
      </w:r>
      <w:r w:rsidR="00016BD4">
        <w:rPr>
          <w:lang w:val="en-GB"/>
        </w:rPr>
        <w:t>.</w:t>
      </w:r>
    </w:p>
    <w:p w:rsidR="00016BD4" w:rsidRDefault="00016BD4" w:rsidP="00C70060">
      <w:pPr>
        <w:rPr>
          <w:lang w:val="en-GB"/>
        </w:rPr>
      </w:pPr>
    </w:p>
    <w:p w:rsidR="00016BD4" w:rsidRDefault="00016BD4" w:rsidP="00C70060">
      <w:pPr>
        <w:rPr>
          <w:lang w:val="en-GB"/>
        </w:rPr>
      </w:pPr>
      <w:r w:rsidRPr="00E70877">
        <w:rPr>
          <w:lang w:val="en-GB"/>
        </w:rPr>
        <w:t xml:space="preserve">The </w:t>
      </w:r>
      <w:r w:rsidR="00D37FD6">
        <w:rPr>
          <w:lang w:val="en-GB"/>
        </w:rPr>
        <w:t>r</w:t>
      </w:r>
      <w:r w:rsidR="00D37FD6" w:rsidRPr="00992AEA">
        <w:rPr>
          <w:lang w:val="en-GB"/>
        </w:rPr>
        <w:t>eport of the IAAP</w:t>
      </w:r>
      <w:r w:rsidR="00D37FD6">
        <w:rPr>
          <w:i/>
          <w:lang w:val="en-GB"/>
        </w:rPr>
        <w:t xml:space="preserve"> </w:t>
      </w:r>
      <w:r w:rsidR="00D37FD6">
        <w:rPr>
          <w:lang w:val="en-GB"/>
        </w:rPr>
        <w:t xml:space="preserve">with the </w:t>
      </w:r>
      <w:r w:rsidRPr="00E70877">
        <w:rPr>
          <w:lang w:val="en-GB"/>
        </w:rPr>
        <w:t>proposed allocation formula</w:t>
      </w:r>
      <w:r w:rsidR="00D37FD6">
        <w:rPr>
          <w:lang w:val="en-GB"/>
        </w:rPr>
        <w:t>e</w:t>
      </w:r>
      <w:r w:rsidRPr="00E70877">
        <w:rPr>
          <w:lang w:val="en-GB"/>
        </w:rPr>
        <w:t xml:space="preserve"> is now released for </w:t>
      </w:r>
      <w:r w:rsidR="00D37FD6">
        <w:rPr>
          <w:lang w:val="en-GB"/>
        </w:rPr>
        <w:t>industry</w:t>
      </w:r>
      <w:r w:rsidRPr="00E70877">
        <w:rPr>
          <w:lang w:val="en-GB"/>
        </w:rPr>
        <w:t xml:space="preserve"> consultation. </w:t>
      </w:r>
      <w:r>
        <w:rPr>
          <w:lang w:val="en-GB"/>
        </w:rPr>
        <w:t xml:space="preserve">You are encouraged to complete the online survey </w:t>
      </w:r>
      <w:r w:rsidR="0032253C">
        <w:rPr>
          <w:lang w:val="en-GB"/>
        </w:rPr>
        <w:t>to have your say</w:t>
      </w:r>
      <w:r>
        <w:rPr>
          <w:lang w:val="en-GB"/>
        </w:rPr>
        <w:t xml:space="preserve">. </w:t>
      </w:r>
      <w:r w:rsidR="00D37FD6">
        <w:rPr>
          <w:lang w:val="en-GB"/>
        </w:rPr>
        <w:t xml:space="preserve">PIRSA will make this feedback available </w:t>
      </w:r>
      <w:r w:rsidR="0032253C">
        <w:rPr>
          <w:lang w:val="en-GB"/>
        </w:rPr>
        <w:t xml:space="preserve">to </w:t>
      </w:r>
      <w:r w:rsidR="00D37FD6">
        <w:rPr>
          <w:lang w:val="en-GB"/>
        </w:rPr>
        <w:t>the IAAP and the Minister.</w:t>
      </w:r>
    </w:p>
    <w:p w:rsidR="00016BD4" w:rsidRDefault="00016BD4" w:rsidP="00C70060">
      <w:pPr>
        <w:rPr>
          <w:lang w:val="en-GB"/>
        </w:rPr>
      </w:pPr>
    </w:p>
    <w:p w:rsidR="0076673B" w:rsidRDefault="00016BD4" w:rsidP="00C70060">
      <w:pPr>
        <w:rPr>
          <w:lang w:val="en-GB"/>
        </w:rPr>
      </w:pPr>
      <w:r w:rsidRPr="00E70877">
        <w:rPr>
          <w:lang w:val="en-GB"/>
        </w:rPr>
        <w:t xml:space="preserve">Following careful consideration of </w:t>
      </w:r>
      <w:r w:rsidR="0076673B">
        <w:rPr>
          <w:lang w:val="en-GB"/>
        </w:rPr>
        <w:t>industry</w:t>
      </w:r>
      <w:r w:rsidRPr="00E70877">
        <w:rPr>
          <w:lang w:val="en-GB"/>
        </w:rPr>
        <w:t xml:space="preserve"> feedback, the IAAP will finalise its report to the Minister </w:t>
      </w:r>
      <w:r w:rsidR="00D37FD6">
        <w:rPr>
          <w:lang w:val="en-GB"/>
        </w:rPr>
        <w:t xml:space="preserve">and </w:t>
      </w:r>
      <w:r w:rsidRPr="00E70877">
        <w:rPr>
          <w:lang w:val="en-GB"/>
        </w:rPr>
        <w:t>provid</w:t>
      </w:r>
      <w:r w:rsidR="0076673B">
        <w:rPr>
          <w:lang w:val="en-GB"/>
        </w:rPr>
        <w:t>e</w:t>
      </w:r>
      <w:r w:rsidRPr="00E70877">
        <w:rPr>
          <w:lang w:val="en-GB"/>
        </w:rPr>
        <w:t xml:space="preserve"> its final recommendation</w:t>
      </w:r>
      <w:r w:rsidR="00D37FD6">
        <w:rPr>
          <w:lang w:val="en-GB"/>
        </w:rPr>
        <w:t>s</w:t>
      </w:r>
      <w:r w:rsidRPr="00E70877">
        <w:rPr>
          <w:lang w:val="en-GB"/>
        </w:rPr>
        <w:t xml:space="preserve"> for the allocation of ITQs. </w:t>
      </w:r>
      <w:r w:rsidR="00D37FD6">
        <w:rPr>
          <w:lang w:val="en-GB"/>
        </w:rPr>
        <w:t xml:space="preserve">The Minister will then make a decision </w:t>
      </w:r>
      <w:r w:rsidR="00BB0987">
        <w:rPr>
          <w:lang w:val="en-GB"/>
        </w:rPr>
        <w:t xml:space="preserve">on the method for allocating ITQs </w:t>
      </w:r>
      <w:r w:rsidR="0076673B">
        <w:rPr>
          <w:lang w:val="en-GB"/>
        </w:rPr>
        <w:t>of</w:t>
      </w:r>
      <w:r w:rsidR="00BB0987">
        <w:rPr>
          <w:lang w:val="en-GB"/>
        </w:rPr>
        <w:t xml:space="preserve"> priority species in the MSF.</w:t>
      </w:r>
      <w:r w:rsidR="0076673B">
        <w:rPr>
          <w:lang w:val="en-GB"/>
        </w:rPr>
        <w:t xml:space="preserve"> </w:t>
      </w:r>
    </w:p>
    <w:p w:rsidR="0076673B" w:rsidRDefault="0076673B" w:rsidP="00C70060">
      <w:pPr>
        <w:rPr>
          <w:lang w:val="en-GB"/>
        </w:rPr>
      </w:pPr>
    </w:p>
    <w:p w:rsidR="0076673B" w:rsidRDefault="0076673B" w:rsidP="00C70060">
      <w:pPr>
        <w:rPr>
          <w:lang w:val="en-GB"/>
        </w:rPr>
      </w:pPr>
      <w:r>
        <w:rPr>
          <w:lang w:val="en-GB"/>
        </w:rPr>
        <w:t xml:space="preserve">The IAAP noted that a licence holder may wish to argue that by reason of certain events, such as illness, serious misfortune, administrative error, </w:t>
      </w:r>
      <w:proofErr w:type="spellStart"/>
      <w:r>
        <w:rPr>
          <w:lang w:val="en-GB"/>
        </w:rPr>
        <w:t>etc</w:t>
      </w:r>
      <w:proofErr w:type="spellEnd"/>
      <w:r>
        <w:rPr>
          <w:lang w:val="en-GB"/>
        </w:rPr>
        <w:t xml:space="preserve">, their circumstances were exceptional and that </w:t>
      </w:r>
      <w:r w:rsidR="004E79FD">
        <w:rPr>
          <w:lang w:val="en-GB"/>
        </w:rPr>
        <w:t>except</w:t>
      </w:r>
      <w:r>
        <w:rPr>
          <w:lang w:val="en-GB"/>
        </w:rPr>
        <w:t xml:space="preserve"> for such events, they would have been entitled to a higher allocation </w:t>
      </w:r>
      <w:r w:rsidR="007E0861">
        <w:rPr>
          <w:lang w:val="en-GB"/>
        </w:rPr>
        <w:t>than</w:t>
      </w:r>
      <w:r>
        <w:rPr>
          <w:lang w:val="en-GB"/>
        </w:rPr>
        <w:t xml:space="preserve"> they received. Once the Minister has decided the method for allocating ITQs </w:t>
      </w:r>
      <w:r w:rsidR="007E0861">
        <w:rPr>
          <w:lang w:val="en-GB"/>
        </w:rPr>
        <w:t>of</w:t>
      </w:r>
      <w:r>
        <w:rPr>
          <w:lang w:val="en-GB"/>
        </w:rPr>
        <w:t xml:space="preserve"> p</w:t>
      </w:r>
      <w:r w:rsidR="00814CE6">
        <w:rPr>
          <w:lang w:val="en-GB"/>
        </w:rPr>
        <w:t>riority species in the MSF, an ‘</w:t>
      </w:r>
      <w:r>
        <w:rPr>
          <w:lang w:val="en-GB"/>
        </w:rPr>
        <w:t>exceptional circumstances’ process will be held in November 2020 to allow for these circumstances to be considered and ensure the principles of fairness and good management result in consistency in the application of the allocation process.</w:t>
      </w:r>
    </w:p>
    <w:p w:rsidR="00016BD4" w:rsidRDefault="00016BD4" w:rsidP="00C70060">
      <w:pPr>
        <w:rPr>
          <w:lang w:val="en-GB"/>
        </w:rPr>
      </w:pPr>
    </w:p>
    <w:p w:rsidR="00BB0987" w:rsidRPr="00992AEA" w:rsidRDefault="00BB0987" w:rsidP="00C70060">
      <w:pPr>
        <w:rPr>
          <w:b/>
        </w:rPr>
      </w:pPr>
      <w:r>
        <w:rPr>
          <w:b/>
        </w:rPr>
        <w:t xml:space="preserve">Do you have any comments on the IAAP recommendations </w:t>
      </w:r>
      <w:r w:rsidR="003124E6">
        <w:rPr>
          <w:b/>
        </w:rPr>
        <w:t xml:space="preserve">for </w:t>
      </w:r>
      <w:r>
        <w:rPr>
          <w:b/>
        </w:rPr>
        <w:t>alloc</w:t>
      </w:r>
      <w:r w:rsidR="003124E6">
        <w:rPr>
          <w:b/>
        </w:rPr>
        <w:t>ating</w:t>
      </w:r>
      <w:r>
        <w:rPr>
          <w:b/>
        </w:rPr>
        <w:t xml:space="preserve"> ITQs among licence holders? Complete the online feedback form.</w:t>
      </w:r>
    </w:p>
    <w:p w:rsidR="00732399" w:rsidRPr="00732399" w:rsidRDefault="00732399" w:rsidP="00C70060">
      <w:pPr>
        <w:pStyle w:val="Heading1"/>
        <w:rPr>
          <w:color w:val="FF0000"/>
        </w:rPr>
      </w:pPr>
      <w:bookmarkStart w:id="17" w:name="_Toc47284554"/>
      <w:bookmarkStart w:id="18" w:name="_Toc48141140"/>
      <w:r w:rsidRPr="00732399">
        <w:t>Compliance program</w:t>
      </w:r>
      <w:bookmarkEnd w:id="17"/>
      <w:bookmarkEnd w:id="18"/>
      <w:r w:rsidRPr="00732399">
        <w:t xml:space="preserve"> </w:t>
      </w:r>
    </w:p>
    <w:p w:rsidR="00D21CA2" w:rsidRDefault="00D25207" w:rsidP="00C70060">
      <w:r>
        <w:t xml:space="preserve">The current </w:t>
      </w:r>
      <w:r w:rsidR="009045FF">
        <w:t xml:space="preserve">annual </w:t>
      </w:r>
      <w:r>
        <w:t xml:space="preserve">compliance program for the </w:t>
      </w:r>
      <w:r w:rsidR="00643851">
        <w:t>MSF</w:t>
      </w:r>
      <w:r w:rsidR="00AC09F3">
        <w:t xml:space="preserve"> focuses on </w:t>
      </w:r>
      <w:r>
        <w:t xml:space="preserve">input controls and costs </w:t>
      </w:r>
      <w:r w:rsidR="00AC09F3">
        <w:t xml:space="preserve">approximately </w:t>
      </w:r>
      <w:r>
        <w:t>$1</w:t>
      </w:r>
      <w:r w:rsidR="00643851">
        <w:t>.3</w:t>
      </w:r>
      <w:r w:rsidR="00AC09F3">
        <w:t xml:space="preserve"> million</w:t>
      </w:r>
      <w:r>
        <w:t xml:space="preserve">. </w:t>
      </w:r>
    </w:p>
    <w:p w:rsidR="00D21CA2" w:rsidRDefault="00D21CA2" w:rsidP="00C70060"/>
    <w:p w:rsidR="00D25207" w:rsidRDefault="00AC09F3" w:rsidP="00C70060">
      <w:r>
        <w:t>The current program focus is on compliance with</w:t>
      </w:r>
      <w:r w:rsidR="00D25207">
        <w:t xml:space="preserve"> close</w:t>
      </w:r>
      <w:r w:rsidR="00EB5AAC">
        <w:t>d</w:t>
      </w:r>
      <w:r w:rsidR="00D25207">
        <w:t xml:space="preserve"> seasons and closed areas, catch limits, legal gear</w:t>
      </w:r>
      <w:r>
        <w:t xml:space="preserve"> types</w:t>
      </w:r>
      <w:r w:rsidR="00D25207">
        <w:t xml:space="preserve">, </w:t>
      </w:r>
      <w:r>
        <w:t>minimum</w:t>
      </w:r>
      <w:r w:rsidR="00D25207">
        <w:t xml:space="preserve"> fish</w:t>
      </w:r>
      <w:r>
        <w:t xml:space="preserve"> sizes and licencing requirements. </w:t>
      </w:r>
    </w:p>
    <w:p w:rsidR="00D25207" w:rsidRDefault="00D25207" w:rsidP="00C70060"/>
    <w:p w:rsidR="00D25207" w:rsidRDefault="00D25207" w:rsidP="00C70060">
      <w:r>
        <w:t xml:space="preserve">The introduction of management zones and </w:t>
      </w:r>
      <w:r w:rsidR="00FF6BD4">
        <w:t>TACCs</w:t>
      </w:r>
      <w:r>
        <w:t xml:space="preserve"> for priority fish stocks managed by </w:t>
      </w:r>
      <w:r w:rsidR="00FF6BD4">
        <w:t>ITQs</w:t>
      </w:r>
      <w:r>
        <w:t xml:space="preserve"> creates a </w:t>
      </w:r>
      <w:r w:rsidR="00976BB0">
        <w:t xml:space="preserve">different </w:t>
      </w:r>
      <w:r>
        <w:t xml:space="preserve">compliance focus requiring </w:t>
      </w:r>
      <w:r w:rsidR="00EB5AAC">
        <w:t xml:space="preserve">new </w:t>
      </w:r>
      <w:r>
        <w:t>technology, systems and process changes that are common in other quota managed fisheries.</w:t>
      </w:r>
    </w:p>
    <w:p w:rsidR="00D25207" w:rsidRDefault="00D25207" w:rsidP="00C70060"/>
    <w:p w:rsidR="00D25207" w:rsidRDefault="00D25207" w:rsidP="00160DE7">
      <w:pPr>
        <w:spacing w:after="120"/>
      </w:pPr>
      <w:r>
        <w:t>The broad risks and compliance tools associated with th</w:t>
      </w:r>
      <w:r w:rsidR="00FF6BD4">
        <w:t>ese</w:t>
      </w:r>
      <w:r>
        <w:t xml:space="preserve"> new arrangement</w:t>
      </w:r>
      <w:r w:rsidR="00FF6BD4">
        <w:t>s</w:t>
      </w:r>
      <w:r>
        <w:t xml:space="preserve"> </w:t>
      </w:r>
      <w:r w:rsidRPr="00992AEA">
        <w:t>may include</w:t>
      </w:r>
      <w:r w:rsidR="009045FF">
        <w:t>:</w:t>
      </w:r>
    </w:p>
    <w:p w:rsidR="00D25207" w:rsidRDefault="00976BB0" w:rsidP="00160DE7">
      <w:pPr>
        <w:pStyle w:val="ListParagraph"/>
        <w:numPr>
          <w:ilvl w:val="0"/>
          <w:numId w:val="22"/>
        </w:numPr>
        <w:spacing w:after="120"/>
        <w:ind w:left="567"/>
        <w:contextualSpacing w:val="0"/>
      </w:pPr>
      <w:r>
        <w:t>e</w:t>
      </w:r>
      <w:r w:rsidR="00D25207">
        <w:t xml:space="preserve">nsuring quota management system integrity through quota monitoring, catch data recording via </w:t>
      </w:r>
      <w:proofErr w:type="spellStart"/>
      <w:r w:rsidR="00D25207">
        <w:t>eCatch</w:t>
      </w:r>
      <w:proofErr w:type="spellEnd"/>
      <w:r w:rsidR="00D25207">
        <w:t>, weighing upon landing, weighing of catch at registered fish processors, sealing catch in prescribed bins using PIRSA</w:t>
      </w:r>
      <w:r w:rsidR="00EB5AAC">
        <w:t>-</w:t>
      </w:r>
      <w:r w:rsidR="00D25207">
        <w:t>issued tags and scientific periodic returns</w:t>
      </w:r>
      <w:r>
        <w:t>.</w:t>
      </w:r>
    </w:p>
    <w:p w:rsidR="00D25207" w:rsidRDefault="00976BB0" w:rsidP="00160DE7">
      <w:pPr>
        <w:pStyle w:val="ListParagraph"/>
        <w:numPr>
          <w:ilvl w:val="0"/>
          <w:numId w:val="22"/>
        </w:numPr>
        <w:spacing w:after="120"/>
        <w:ind w:left="567"/>
        <w:contextualSpacing w:val="0"/>
      </w:pPr>
      <w:proofErr w:type="gramStart"/>
      <w:r>
        <w:lastRenderedPageBreak/>
        <w:t>e</w:t>
      </w:r>
      <w:r w:rsidR="00D25207">
        <w:t>nsuring</w:t>
      </w:r>
      <w:proofErr w:type="gramEnd"/>
      <w:r w:rsidR="00D25207">
        <w:t xml:space="preserve"> spatial controls and trip logging using </w:t>
      </w:r>
      <w:r w:rsidR="00FF6BD4">
        <w:t xml:space="preserve">a </w:t>
      </w:r>
      <w:r w:rsidR="00D25207">
        <w:t>vessel monitoring system</w:t>
      </w:r>
      <w:r w:rsidR="00FF6BD4">
        <w:t xml:space="preserve"> (VMS)</w:t>
      </w:r>
      <w:r w:rsidR="00D25207">
        <w:t xml:space="preserve">, prior to fishing reports, prior to landing reports or </w:t>
      </w:r>
      <w:proofErr w:type="spellStart"/>
      <w:r w:rsidR="00D25207">
        <w:t>onboard</w:t>
      </w:r>
      <w:proofErr w:type="spellEnd"/>
      <w:r w:rsidR="00D25207">
        <w:t xml:space="preserve"> electronic monitoring</w:t>
      </w:r>
      <w:r>
        <w:t>.</w:t>
      </w:r>
    </w:p>
    <w:p w:rsidR="00D25207" w:rsidRDefault="00976BB0" w:rsidP="00C70060">
      <w:pPr>
        <w:pStyle w:val="ListParagraph"/>
        <w:numPr>
          <w:ilvl w:val="0"/>
          <w:numId w:val="22"/>
        </w:numPr>
        <w:ind w:left="567"/>
      </w:pPr>
      <w:proofErr w:type="gramStart"/>
      <w:r>
        <w:t>r</w:t>
      </w:r>
      <w:r w:rsidR="00D25207">
        <w:t>econciling</w:t>
      </w:r>
      <w:proofErr w:type="gramEnd"/>
      <w:r w:rsidR="00D25207">
        <w:t xml:space="preserve"> catch disposed and sold at fish processors via </w:t>
      </w:r>
      <w:proofErr w:type="spellStart"/>
      <w:r w:rsidR="00D25207">
        <w:t>eCatch</w:t>
      </w:r>
      <w:proofErr w:type="spellEnd"/>
      <w:r>
        <w:t>.</w:t>
      </w:r>
    </w:p>
    <w:p w:rsidR="00D25207" w:rsidRDefault="00D25207" w:rsidP="00C70060"/>
    <w:p w:rsidR="00D25207" w:rsidRDefault="00D25207" w:rsidP="00C70060">
      <w:r>
        <w:t>The addition of any combination of the above compliance tools will require regulation and penalty changes and increased costs to set</w:t>
      </w:r>
      <w:r w:rsidR="00EB5AAC">
        <w:t xml:space="preserve"> </w:t>
      </w:r>
      <w:r>
        <w:t xml:space="preserve">up and maintain. The program costs will be proportional to the levels of desired quota integrity. </w:t>
      </w:r>
    </w:p>
    <w:p w:rsidR="00D25207" w:rsidRDefault="00D25207" w:rsidP="00C70060"/>
    <w:p w:rsidR="00D25207" w:rsidRDefault="00EE1FAD" w:rsidP="00C70060">
      <w:r>
        <w:t>A</w:t>
      </w:r>
      <w:r w:rsidR="00D25207">
        <w:t xml:space="preserve"> </w:t>
      </w:r>
      <w:r>
        <w:t xml:space="preserve">revised </w:t>
      </w:r>
      <w:r w:rsidR="00D25207">
        <w:t xml:space="preserve">compliance program </w:t>
      </w:r>
      <w:r>
        <w:t xml:space="preserve">developed around a minimum </w:t>
      </w:r>
      <w:r w:rsidR="00D25207">
        <w:t>base level quota integrity</w:t>
      </w:r>
      <w:r>
        <w:t xml:space="preserve"> monitoring system, and taking into account a reduced number of MSF licences,</w:t>
      </w:r>
      <w:r w:rsidR="00D25207">
        <w:t xml:space="preserve"> </w:t>
      </w:r>
      <w:r>
        <w:t xml:space="preserve">is estimated to require </w:t>
      </w:r>
      <w:r w:rsidR="00D25207">
        <w:t xml:space="preserve">an additional </w:t>
      </w:r>
      <w:r>
        <w:t>~</w:t>
      </w:r>
      <w:r w:rsidR="00D25207">
        <w:t>$800,000 to $1.3</w:t>
      </w:r>
      <w:r w:rsidR="006E25DA">
        <w:t xml:space="preserve"> million</w:t>
      </w:r>
      <w:r w:rsidR="00D25207">
        <w:t xml:space="preserve"> </w:t>
      </w:r>
      <w:r w:rsidR="009045FF">
        <w:t>each year</w:t>
      </w:r>
      <w:r w:rsidR="00D25207">
        <w:t>.</w:t>
      </w:r>
    </w:p>
    <w:p w:rsidR="00936574" w:rsidRDefault="00936574" w:rsidP="00C70060"/>
    <w:p w:rsidR="00936574" w:rsidRDefault="00936574" w:rsidP="00936574">
      <w:pPr>
        <w:rPr>
          <w:rFonts w:cs="Arial"/>
        </w:rPr>
      </w:pPr>
      <w:r w:rsidRPr="003721D5">
        <w:rPr>
          <w:rFonts w:cs="Arial"/>
        </w:rPr>
        <w:t xml:space="preserve">The details of an appropriate compliance program need to be further developed and refined in consultation with the industry, </w:t>
      </w:r>
      <w:r>
        <w:rPr>
          <w:rFonts w:cs="Arial"/>
        </w:rPr>
        <w:t xml:space="preserve">and </w:t>
      </w:r>
      <w:r w:rsidRPr="003721D5">
        <w:rPr>
          <w:rFonts w:cs="Arial"/>
        </w:rPr>
        <w:t>will depend on the final management structure of the reformed fishery.</w:t>
      </w:r>
      <w:r w:rsidR="00652115">
        <w:rPr>
          <w:rFonts w:cs="Arial"/>
        </w:rPr>
        <w:t xml:space="preserve"> Technological adoption will be key to the reformed MSF.</w:t>
      </w:r>
    </w:p>
    <w:p w:rsidR="000E3B13" w:rsidRDefault="000E3B13" w:rsidP="00936574">
      <w:pPr>
        <w:rPr>
          <w:rFonts w:cs="Arial"/>
        </w:rPr>
      </w:pPr>
    </w:p>
    <w:p w:rsidR="00EB5AAC" w:rsidRPr="00992AEA" w:rsidRDefault="00EB5AAC" w:rsidP="00C70060">
      <w:pPr>
        <w:rPr>
          <w:b/>
        </w:rPr>
      </w:pPr>
      <w:r>
        <w:rPr>
          <w:b/>
        </w:rPr>
        <w:t xml:space="preserve">Do you have any </w:t>
      </w:r>
      <w:r w:rsidR="003C5163">
        <w:rPr>
          <w:b/>
        </w:rPr>
        <w:t>feedback</w:t>
      </w:r>
      <w:r>
        <w:rPr>
          <w:b/>
        </w:rPr>
        <w:t xml:space="preserve"> on </w:t>
      </w:r>
      <w:r w:rsidRPr="00EB5AAC">
        <w:rPr>
          <w:b/>
        </w:rPr>
        <w:t>a compliance program to ensure integrity of the quota management system</w:t>
      </w:r>
      <w:r>
        <w:rPr>
          <w:b/>
        </w:rPr>
        <w:t>? Complete the online feedback form.</w:t>
      </w:r>
    </w:p>
    <w:p w:rsidR="00732399" w:rsidRPr="00732399" w:rsidRDefault="00732399" w:rsidP="00C70060">
      <w:pPr>
        <w:pStyle w:val="Heading1"/>
      </w:pPr>
      <w:bookmarkStart w:id="19" w:name="_Toc47284555"/>
      <w:bookmarkStart w:id="20" w:name="_Toc48141141"/>
      <w:r w:rsidRPr="00732399">
        <w:t>Scientific stock assessment and monitoring program</w:t>
      </w:r>
      <w:bookmarkEnd w:id="19"/>
      <w:bookmarkEnd w:id="20"/>
      <w:r w:rsidRPr="00732399">
        <w:t xml:space="preserve"> </w:t>
      </w:r>
    </w:p>
    <w:p w:rsidR="00A16D73" w:rsidRDefault="00A16D73" w:rsidP="00C70060">
      <w:r>
        <w:t>The purpose of the scientific stock assessment and monitoring program is to provide the science-based evidence to support sustainable ut</w:t>
      </w:r>
      <w:r w:rsidR="000454C1">
        <w:t>i</w:t>
      </w:r>
      <w:r>
        <w:t xml:space="preserve">lisation and management of the MSF. This program needs to </w:t>
      </w:r>
      <w:r w:rsidR="00FA25AB">
        <w:t xml:space="preserve">have a number of </w:t>
      </w:r>
      <w:r w:rsidR="00C87D80">
        <w:t>components</w:t>
      </w:r>
      <w:r>
        <w:t xml:space="preserve"> because the MSF harvests a diverse range of species using a variety of gear types across much of the marine waters of </w:t>
      </w:r>
      <w:r w:rsidR="00FF6BD4">
        <w:t>the State</w:t>
      </w:r>
      <w:r>
        <w:t>.</w:t>
      </w:r>
    </w:p>
    <w:p w:rsidR="00A16D73" w:rsidRDefault="00A16D73" w:rsidP="00C70060"/>
    <w:p w:rsidR="00A16D73" w:rsidRDefault="00A16D73" w:rsidP="00160DE7">
      <w:pPr>
        <w:spacing w:after="120"/>
      </w:pPr>
      <w:r>
        <w:t>There are four core components to the program. These are:</w:t>
      </w:r>
    </w:p>
    <w:p w:rsidR="00A16D73" w:rsidRDefault="00A16D73" w:rsidP="00160DE7">
      <w:pPr>
        <w:pStyle w:val="ListParagraph"/>
        <w:numPr>
          <w:ilvl w:val="0"/>
          <w:numId w:val="18"/>
        </w:numPr>
        <w:spacing w:after="120"/>
        <w:ind w:left="567" w:hanging="425"/>
        <w:contextualSpacing w:val="0"/>
      </w:pPr>
      <w:r>
        <w:t>Catch an</w:t>
      </w:r>
      <w:r w:rsidR="00FA25AB">
        <w:t xml:space="preserve">d effort logbooks completed by </w:t>
      </w:r>
      <w:r>
        <w:t xml:space="preserve">commercial fishers for each fishing day – these provide information on catch, fishing location and gear used; </w:t>
      </w:r>
    </w:p>
    <w:p w:rsidR="00A16D73" w:rsidRDefault="00A16D73" w:rsidP="00160DE7">
      <w:pPr>
        <w:pStyle w:val="ListParagraph"/>
        <w:numPr>
          <w:ilvl w:val="0"/>
          <w:numId w:val="18"/>
        </w:numPr>
        <w:spacing w:after="120"/>
        <w:ind w:left="567" w:hanging="425"/>
        <w:contextualSpacing w:val="0"/>
      </w:pPr>
      <w:r>
        <w:t>Length and age sampling of selected species – these provide information on the size and age structure of fished stocks, fish growth rates, reproductive condition, recruitment and fishing mortality;</w:t>
      </w:r>
    </w:p>
    <w:p w:rsidR="00A16D73" w:rsidRDefault="00A16D73" w:rsidP="00160DE7">
      <w:pPr>
        <w:pStyle w:val="ListParagraph"/>
        <w:numPr>
          <w:ilvl w:val="0"/>
          <w:numId w:val="18"/>
        </w:numPr>
        <w:spacing w:after="120"/>
        <w:ind w:left="567" w:hanging="425"/>
        <w:contextualSpacing w:val="0"/>
      </w:pPr>
      <w:r>
        <w:t>Stock assessment and modelling of key stocks – these provide information on trends in stock abundance and current stock status. These are a comprehensive integration of all available commercial, recreational and biological data for each key stock and provide a high level of information for management; and</w:t>
      </w:r>
    </w:p>
    <w:p w:rsidR="00A16D73" w:rsidRDefault="00A16D73" w:rsidP="00C70060">
      <w:pPr>
        <w:pStyle w:val="ListParagraph"/>
        <w:numPr>
          <w:ilvl w:val="0"/>
          <w:numId w:val="18"/>
        </w:numPr>
        <w:ind w:left="567" w:hanging="425"/>
      </w:pPr>
      <w:r>
        <w:t>Stock status of other harvested species – these are based on catch and effort monitoring of non-modelled stocks.</w:t>
      </w:r>
    </w:p>
    <w:p w:rsidR="00A16D73" w:rsidRDefault="00A16D73" w:rsidP="00C70060">
      <w:pPr>
        <w:pStyle w:val="ListParagraph"/>
      </w:pPr>
    </w:p>
    <w:p w:rsidR="00A16D73" w:rsidRDefault="00A16D73" w:rsidP="00C70060">
      <w:r>
        <w:t>The current program operates on a three-year cycle, providing a comp</w:t>
      </w:r>
      <w:r w:rsidR="00FA25AB">
        <w:t>rehensive stock assessment for s</w:t>
      </w:r>
      <w:r>
        <w:t xml:space="preserve">napper, King George </w:t>
      </w:r>
      <w:r w:rsidR="00FA25AB">
        <w:t>w</w:t>
      </w:r>
      <w:r>
        <w:t xml:space="preserve">hiting and </w:t>
      </w:r>
      <w:r w:rsidR="00FA25AB">
        <w:t>s</w:t>
      </w:r>
      <w:r>
        <w:t xml:space="preserve">outhern </w:t>
      </w:r>
      <w:r w:rsidR="00FA25AB">
        <w:t>g</w:t>
      </w:r>
      <w:r>
        <w:t xml:space="preserve">arfish in </w:t>
      </w:r>
      <w:r w:rsidR="003F1973">
        <w:t>a triennial (once every three years)</w:t>
      </w:r>
      <w:r>
        <w:t xml:space="preserve"> rotation. </w:t>
      </w:r>
    </w:p>
    <w:p w:rsidR="00A16D73" w:rsidRDefault="00A16D73" w:rsidP="00C70060"/>
    <w:p w:rsidR="00A16D73" w:rsidRDefault="00A16D73" w:rsidP="00C70060">
      <w:r>
        <w:t>Increased levels of catch result in elevated risks of overfishing. Consequently, higher levels of exploitation require additional levels of information on stocks to mitigate this risk. Increased levels of information result in higher costs of the scientific stock assessment and monitoring program.</w:t>
      </w:r>
      <w:r w:rsidR="00FA25AB">
        <w:t xml:space="preserve"> </w:t>
      </w:r>
      <w:r w:rsidR="000454C1">
        <w:t>This is known as a ‘risk-catch-cost’ trade-off. It is also true that</w:t>
      </w:r>
      <w:r w:rsidR="00FA25AB">
        <w:t xml:space="preserve"> limited information on stocks (which is less expensive)</w:t>
      </w:r>
      <w:r w:rsidR="000454C1">
        <w:t xml:space="preserve"> requires more conservative levels of catch to manage risks of over</w:t>
      </w:r>
      <w:r w:rsidR="00814CE6">
        <w:t>-</w:t>
      </w:r>
      <w:r w:rsidR="000454C1">
        <w:t>exploitation. These are the components which need to be balanced in determining the most suitable program for the fishery.</w:t>
      </w:r>
    </w:p>
    <w:p w:rsidR="00A16D73" w:rsidRDefault="00A16D73" w:rsidP="00C70060"/>
    <w:p w:rsidR="00A16D73" w:rsidRDefault="00A16D73" w:rsidP="00C70060">
      <w:r>
        <w:t xml:space="preserve">A comprehensive scientific stock assessment and monitoring program, appropriate to a reformed MSF, would have multiple components. These </w:t>
      </w:r>
      <w:r w:rsidR="000C53CF">
        <w:t>include</w:t>
      </w:r>
      <w:r>
        <w:t>:</w:t>
      </w:r>
    </w:p>
    <w:p w:rsidR="006E25DA" w:rsidRDefault="006E25DA" w:rsidP="00C70060"/>
    <w:p w:rsidR="00A16D73" w:rsidRDefault="00A16D73" w:rsidP="00160DE7">
      <w:pPr>
        <w:pStyle w:val="ListParagraph"/>
        <w:numPr>
          <w:ilvl w:val="0"/>
          <w:numId w:val="19"/>
        </w:numPr>
        <w:spacing w:after="120"/>
        <w:ind w:left="567" w:hanging="425"/>
        <w:contextualSpacing w:val="0"/>
      </w:pPr>
      <w:r>
        <w:t>Catch and effort logbooks completed by commercial fishers for each fishing day</w:t>
      </w:r>
      <w:r w:rsidR="00B1583B">
        <w:t xml:space="preserve"> with a transition to electronic reporting (</w:t>
      </w:r>
      <w:proofErr w:type="spellStart"/>
      <w:r w:rsidR="00B1583B">
        <w:t>eCatch</w:t>
      </w:r>
      <w:proofErr w:type="spellEnd"/>
      <w:r w:rsidR="00B1583B">
        <w:t>)</w:t>
      </w:r>
      <w:r>
        <w:t>;</w:t>
      </w:r>
    </w:p>
    <w:p w:rsidR="00A16D73" w:rsidRDefault="00A16D73" w:rsidP="00160DE7">
      <w:pPr>
        <w:pStyle w:val="ListParagraph"/>
        <w:numPr>
          <w:ilvl w:val="0"/>
          <w:numId w:val="19"/>
        </w:numPr>
        <w:spacing w:after="120"/>
        <w:ind w:left="567" w:hanging="425"/>
        <w:contextualSpacing w:val="0"/>
      </w:pPr>
      <w:r>
        <w:t>Biological (age, length, reproductive condition) sampling of numerous species;</w:t>
      </w:r>
    </w:p>
    <w:p w:rsidR="00A16D73" w:rsidRDefault="00A16D73" w:rsidP="00160DE7">
      <w:pPr>
        <w:pStyle w:val="ListParagraph"/>
        <w:numPr>
          <w:ilvl w:val="0"/>
          <w:numId w:val="19"/>
        </w:numPr>
        <w:spacing w:after="120"/>
        <w:ind w:left="567" w:hanging="425"/>
        <w:contextualSpacing w:val="0"/>
      </w:pPr>
      <w:r>
        <w:t xml:space="preserve">Annual stock assessments and modelling of Tier 1 </w:t>
      </w:r>
      <w:r w:rsidR="000C53CF">
        <w:t xml:space="preserve">(ITQ) </w:t>
      </w:r>
      <w:r>
        <w:t>stocks;</w:t>
      </w:r>
    </w:p>
    <w:p w:rsidR="00A16D73" w:rsidRDefault="00A16D73" w:rsidP="00160DE7">
      <w:pPr>
        <w:pStyle w:val="ListParagraph"/>
        <w:numPr>
          <w:ilvl w:val="0"/>
          <w:numId w:val="19"/>
        </w:numPr>
        <w:spacing w:after="120"/>
        <w:ind w:left="567" w:hanging="425"/>
        <w:contextualSpacing w:val="0"/>
      </w:pPr>
      <w:r>
        <w:t>Annual stock status of Tier 2 and Tier 3 stocks</w:t>
      </w:r>
      <w:r w:rsidR="000C53CF">
        <w:t>;</w:t>
      </w:r>
    </w:p>
    <w:p w:rsidR="00A16D73" w:rsidRDefault="00A16D73" w:rsidP="00160DE7">
      <w:pPr>
        <w:pStyle w:val="ListParagraph"/>
        <w:numPr>
          <w:ilvl w:val="0"/>
          <w:numId w:val="19"/>
        </w:numPr>
        <w:spacing w:after="120"/>
        <w:ind w:left="567" w:hanging="425"/>
        <w:contextualSpacing w:val="0"/>
      </w:pPr>
      <w:r>
        <w:t xml:space="preserve">Estimates of biomass, from </w:t>
      </w:r>
      <w:r w:rsidR="00D70719">
        <w:t>daily egg production method (</w:t>
      </w:r>
      <w:r>
        <w:t>DEPM</w:t>
      </w:r>
      <w:r w:rsidR="00D70719">
        <w:t>)</w:t>
      </w:r>
      <w:r>
        <w:t xml:space="preserve"> surveys, for </w:t>
      </w:r>
      <w:r w:rsidR="003F1973">
        <w:t>s</w:t>
      </w:r>
      <w:r>
        <w:t>napper (Spencer Gulf</w:t>
      </w:r>
      <w:r w:rsidR="000C53CF">
        <w:t>, G</w:t>
      </w:r>
      <w:r>
        <w:t xml:space="preserve">ulf St Vincent) and King George </w:t>
      </w:r>
      <w:r w:rsidR="003F1973">
        <w:t>w</w:t>
      </w:r>
      <w:r>
        <w:t xml:space="preserve">hiting (Investigator Strait) in triennial rotation – these provide </w:t>
      </w:r>
      <w:r w:rsidR="000C53CF">
        <w:t xml:space="preserve">fishery-independent </w:t>
      </w:r>
      <w:r>
        <w:t>information on levels of spawning stock biomass;</w:t>
      </w:r>
    </w:p>
    <w:p w:rsidR="00A16D73" w:rsidRDefault="003F1973" w:rsidP="00160DE7">
      <w:pPr>
        <w:pStyle w:val="ListParagraph"/>
        <w:numPr>
          <w:ilvl w:val="0"/>
          <w:numId w:val="19"/>
        </w:numPr>
        <w:spacing w:after="120"/>
        <w:ind w:left="567" w:hanging="425"/>
        <w:contextualSpacing w:val="0"/>
      </w:pPr>
      <w:r>
        <w:t>Annual s</w:t>
      </w:r>
      <w:r w:rsidR="00A16D73">
        <w:t>napper pre-recruit survey – these provide i</w:t>
      </w:r>
      <w:r w:rsidR="000C53CF">
        <w:t>nformation on recent levels of s</w:t>
      </w:r>
      <w:r w:rsidR="00A16D73">
        <w:t>napper recruitment;</w:t>
      </w:r>
    </w:p>
    <w:p w:rsidR="00A16D73" w:rsidRDefault="00A16D73" w:rsidP="000C53CF">
      <w:pPr>
        <w:pStyle w:val="ListParagraph"/>
        <w:numPr>
          <w:ilvl w:val="0"/>
          <w:numId w:val="19"/>
        </w:numPr>
        <w:spacing w:after="60"/>
        <w:ind w:left="567" w:hanging="425"/>
        <w:contextualSpacing w:val="0"/>
      </w:pPr>
      <w:r>
        <w:t xml:space="preserve">Annual fishery-independent surveys on King George </w:t>
      </w:r>
      <w:r w:rsidR="003F1973">
        <w:t>w</w:t>
      </w:r>
      <w:r>
        <w:t xml:space="preserve">hiting, </w:t>
      </w:r>
      <w:r w:rsidR="003F1973">
        <w:t>g</w:t>
      </w:r>
      <w:r>
        <w:t xml:space="preserve">arfish and </w:t>
      </w:r>
      <w:r w:rsidR="003F1973">
        <w:t>c</w:t>
      </w:r>
      <w:r>
        <w:t xml:space="preserve">alamari – these provide information on trends in stock abundance and recruitment that are independent of information provided in </w:t>
      </w:r>
      <w:r w:rsidR="000C53CF">
        <w:t>the commercial fishing logbooks</w:t>
      </w:r>
      <w:r>
        <w:t>.</w:t>
      </w:r>
    </w:p>
    <w:p w:rsidR="00A16D73" w:rsidRDefault="00A16D73" w:rsidP="00C70060"/>
    <w:p w:rsidR="00732399" w:rsidRDefault="00A16D73" w:rsidP="00C70060">
      <w:r>
        <w:t>Maintaining the current scientific stock assessment and monitoring program would cost between $1</w:t>
      </w:r>
      <w:r w:rsidR="00C3152E">
        <w:t xml:space="preserve"> million</w:t>
      </w:r>
      <w:r>
        <w:t xml:space="preserve"> and $1.2</w:t>
      </w:r>
      <w:r w:rsidR="00C3152E">
        <w:t xml:space="preserve"> million</w:t>
      </w:r>
      <w:r>
        <w:t xml:space="preserve"> per year. The more comprehensive, scientific stock assessment and monitoring program would cost between $3.1</w:t>
      </w:r>
      <w:r w:rsidR="00C3152E">
        <w:t xml:space="preserve"> million</w:t>
      </w:r>
      <w:r>
        <w:t xml:space="preserve"> and $3.7</w:t>
      </w:r>
      <w:r w:rsidR="00C3152E">
        <w:t xml:space="preserve"> million</w:t>
      </w:r>
      <w:r>
        <w:t xml:space="preserve"> per year.</w:t>
      </w:r>
      <w:r w:rsidR="00DC66EC">
        <w:t xml:space="preserve"> A program which aims to balance the risk-cost-catch trade-offs at a moderate level is estimated to cost between $1.4</w:t>
      </w:r>
      <w:r w:rsidR="00C3152E">
        <w:t xml:space="preserve"> million</w:t>
      </w:r>
      <w:r w:rsidR="00DC66EC">
        <w:t xml:space="preserve"> and $2.1</w:t>
      </w:r>
      <w:r w:rsidR="00C3152E">
        <w:t xml:space="preserve"> million</w:t>
      </w:r>
      <w:r w:rsidR="00DC66EC">
        <w:t xml:space="preserve"> per year.</w:t>
      </w:r>
      <w:r w:rsidR="00460B58">
        <w:t xml:space="preserve"> </w:t>
      </w:r>
    </w:p>
    <w:p w:rsidR="00460B58" w:rsidRDefault="00460B58" w:rsidP="00C70060"/>
    <w:p w:rsidR="00460B58" w:rsidRDefault="00460B58" w:rsidP="00C70060">
      <w:r w:rsidRPr="00460B58">
        <w:t xml:space="preserve">The most appropriate scientific research and monitoring program </w:t>
      </w:r>
      <w:r>
        <w:t>for the reformed MSF will continue to be</w:t>
      </w:r>
      <w:r w:rsidRPr="00460B58">
        <w:t xml:space="preserve"> refined </w:t>
      </w:r>
      <w:r w:rsidR="000E3B13">
        <w:t xml:space="preserve">through the Management Advisory Committee </w:t>
      </w:r>
      <w:r w:rsidRPr="00460B58">
        <w:t xml:space="preserve">and will </w:t>
      </w:r>
      <w:r>
        <w:t>take into account</w:t>
      </w:r>
      <w:r w:rsidRPr="00460B58">
        <w:t xml:space="preserve"> the nature of the harvest strategies developed to manage key stocks.</w:t>
      </w:r>
    </w:p>
    <w:p w:rsidR="00C3152E" w:rsidRDefault="00C3152E" w:rsidP="00C70060"/>
    <w:p w:rsidR="00A73DDD" w:rsidRPr="00992AEA" w:rsidRDefault="00A73DDD" w:rsidP="00C70060">
      <w:pPr>
        <w:rPr>
          <w:b/>
        </w:rPr>
      </w:pPr>
      <w:r>
        <w:rPr>
          <w:b/>
        </w:rPr>
        <w:t xml:space="preserve">Do you have any feedback on </w:t>
      </w:r>
      <w:r w:rsidRPr="00EB5AAC">
        <w:rPr>
          <w:b/>
        </w:rPr>
        <w:t xml:space="preserve">a </w:t>
      </w:r>
      <w:r>
        <w:rPr>
          <w:b/>
        </w:rPr>
        <w:t>s</w:t>
      </w:r>
      <w:r w:rsidRPr="00A73DDD">
        <w:rPr>
          <w:b/>
        </w:rPr>
        <w:t>cientific stock assessment and monitoring program</w:t>
      </w:r>
      <w:r>
        <w:rPr>
          <w:b/>
        </w:rPr>
        <w:t xml:space="preserve"> </w:t>
      </w:r>
      <w:r w:rsidRPr="00A73DDD">
        <w:rPr>
          <w:b/>
        </w:rPr>
        <w:t>to support ecologically sustainable management of the fishery</w:t>
      </w:r>
      <w:r>
        <w:rPr>
          <w:b/>
        </w:rPr>
        <w:t>? Complete the online feedback form.</w:t>
      </w:r>
    </w:p>
    <w:p w:rsidR="00CD2541" w:rsidRDefault="00732399" w:rsidP="00C70060">
      <w:pPr>
        <w:pStyle w:val="Heading1"/>
      </w:pPr>
      <w:bookmarkStart w:id="21" w:name="_Toc47284556"/>
      <w:bookmarkStart w:id="22" w:name="_Toc48141142"/>
      <w:r w:rsidRPr="00732399">
        <w:lastRenderedPageBreak/>
        <w:t>Co-management</w:t>
      </w:r>
      <w:bookmarkEnd w:id="21"/>
      <w:bookmarkEnd w:id="22"/>
      <w:r w:rsidRPr="00732399">
        <w:t xml:space="preserve"> </w:t>
      </w:r>
    </w:p>
    <w:p w:rsidR="00E25874" w:rsidRDefault="00E25874" w:rsidP="00992AEA">
      <w:r>
        <w:t xml:space="preserve">An objective of the </w:t>
      </w:r>
      <w:r w:rsidRPr="00992AEA">
        <w:rPr>
          <w:i/>
        </w:rPr>
        <w:t>Fisheries Management Act 2007</w:t>
      </w:r>
      <w:r>
        <w:t xml:space="preserve"> is “the participation of users of the aquatic resources of the State, and of the community more generally, in the management of fisheries is to be encouraged”. PIRSA </w:t>
      </w:r>
      <w:r w:rsidR="000E3B13">
        <w:t>will manage the MSF in</w:t>
      </w:r>
      <w:r>
        <w:t xml:space="preserve"> partnership and in consultation with the fishing industry and other key</w:t>
      </w:r>
      <w:r w:rsidR="00C3152E">
        <w:t xml:space="preserve"> stakeholders</w:t>
      </w:r>
      <w:r>
        <w:t>, with the aim of achieving better fisheries management outcomes.</w:t>
      </w:r>
    </w:p>
    <w:p w:rsidR="00E25874" w:rsidRDefault="00E25874" w:rsidP="00992AEA"/>
    <w:p w:rsidR="00E25874" w:rsidRPr="00E25874" w:rsidRDefault="00E25874" w:rsidP="00992AEA">
      <w:r>
        <w:t>T</w:t>
      </w:r>
      <w:r w:rsidR="007D2095" w:rsidRPr="007D2095">
        <w:t xml:space="preserve">he Snapper Management Advisory Committee (Snapper MAC) </w:t>
      </w:r>
      <w:r>
        <w:t xml:space="preserve">was </w:t>
      </w:r>
      <w:r w:rsidR="007D2095" w:rsidRPr="007D2095">
        <w:t xml:space="preserve">established </w:t>
      </w:r>
      <w:r>
        <w:t>i</w:t>
      </w:r>
      <w:r w:rsidR="00832F1E">
        <w:t>n October 2019</w:t>
      </w:r>
      <w:r w:rsidRPr="00E25874">
        <w:t xml:space="preserve"> to </w:t>
      </w:r>
      <w:r>
        <w:t>support</w:t>
      </w:r>
      <w:r w:rsidRPr="00E25874">
        <w:t xml:space="preserve"> pressing fisheries management issues related to </w:t>
      </w:r>
      <w:r w:rsidR="000C53CF">
        <w:t>s</w:t>
      </w:r>
      <w:r w:rsidRPr="00E25874">
        <w:t xml:space="preserve">napper </w:t>
      </w:r>
      <w:r>
        <w:t>being</w:t>
      </w:r>
      <w:r w:rsidRPr="00E25874">
        <w:t xml:space="preserve"> </w:t>
      </w:r>
      <w:r>
        <w:t>addressed at that time.</w:t>
      </w:r>
    </w:p>
    <w:p w:rsidR="00E25874" w:rsidRDefault="00E25874" w:rsidP="00992AEA"/>
    <w:p w:rsidR="00E25874" w:rsidRPr="00E25874" w:rsidRDefault="00E25874" w:rsidP="00992AEA">
      <w:r w:rsidRPr="00E25874">
        <w:t>The Snapper MAC involves a mix of expertise to support decision making processes and strengthen consultative arrangements</w:t>
      </w:r>
      <w:r w:rsidR="006D2A70">
        <w:t xml:space="preserve"> as follows</w:t>
      </w:r>
      <w:r w:rsidRPr="00E25874">
        <w:t xml:space="preserve">: </w:t>
      </w:r>
    </w:p>
    <w:p w:rsidR="00E25874" w:rsidRPr="00E25874" w:rsidRDefault="00E25874" w:rsidP="00992AEA">
      <w:pPr>
        <w:numPr>
          <w:ilvl w:val="1"/>
          <w:numId w:val="30"/>
        </w:numPr>
        <w:ind w:left="567"/>
      </w:pPr>
      <w:r w:rsidRPr="00E25874">
        <w:t xml:space="preserve">Independent Chair – </w:t>
      </w:r>
      <w:r w:rsidR="000E3B13">
        <w:t xml:space="preserve">Hon </w:t>
      </w:r>
      <w:r w:rsidRPr="00E25874">
        <w:t>Amanda Vanstone</w:t>
      </w:r>
    </w:p>
    <w:p w:rsidR="00E25874" w:rsidRPr="00E25874" w:rsidRDefault="00E25874" w:rsidP="00992AEA">
      <w:pPr>
        <w:numPr>
          <w:ilvl w:val="1"/>
          <w:numId w:val="30"/>
        </w:numPr>
        <w:ind w:left="567"/>
      </w:pPr>
      <w:r w:rsidRPr="00E25874">
        <w:t>Independent economist with expertise related to fisheries management – Dr Julian Morison</w:t>
      </w:r>
    </w:p>
    <w:p w:rsidR="00E25874" w:rsidRPr="00E25874" w:rsidRDefault="00E25874" w:rsidP="00992AEA">
      <w:pPr>
        <w:numPr>
          <w:ilvl w:val="1"/>
          <w:numId w:val="30"/>
        </w:numPr>
        <w:ind w:left="567"/>
      </w:pPr>
      <w:r w:rsidRPr="00E25874">
        <w:t>Independent fisheries scientist – Dr David Smith</w:t>
      </w:r>
    </w:p>
    <w:p w:rsidR="00E25874" w:rsidRPr="00E25874" w:rsidRDefault="00E25874" w:rsidP="00992AEA">
      <w:pPr>
        <w:numPr>
          <w:ilvl w:val="1"/>
          <w:numId w:val="30"/>
        </w:numPr>
        <w:ind w:left="567"/>
      </w:pPr>
      <w:r w:rsidRPr="00E25874">
        <w:t>Fisheries management expert – PIRSA Fisheries and Aquaculture, Keith Rowling</w:t>
      </w:r>
    </w:p>
    <w:p w:rsidR="00E25874" w:rsidRPr="00E25874" w:rsidRDefault="00E25874" w:rsidP="00992AEA">
      <w:pPr>
        <w:numPr>
          <w:ilvl w:val="1"/>
          <w:numId w:val="30"/>
        </w:numPr>
        <w:ind w:left="567"/>
      </w:pPr>
      <w:r w:rsidRPr="00E25874">
        <w:t>Fisheries science expert – SARDI</w:t>
      </w:r>
      <w:r>
        <w:t xml:space="preserve"> Aquatic Sciences</w:t>
      </w:r>
      <w:r w:rsidRPr="00E25874">
        <w:t>, Dr Michael Steer</w:t>
      </w:r>
    </w:p>
    <w:p w:rsidR="00E25874" w:rsidRPr="00E25874" w:rsidRDefault="00E25874" w:rsidP="00992AEA">
      <w:pPr>
        <w:numPr>
          <w:ilvl w:val="1"/>
          <w:numId w:val="30"/>
        </w:numPr>
        <w:ind w:left="567"/>
      </w:pPr>
      <w:r w:rsidRPr="00E25874">
        <w:t>Representative of the commercial fishing sector – Franca Romeo</w:t>
      </w:r>
    </w:p>
    <w:p w:rsidR="00E25874" w:rsidRPr="00E25874" w:rsidRDefault="00E25874" w:rsidP="00992AEA">
      <w:pPr>
        <w:numPr>
          <w:ilvl w:val="1"/>
          <w:numId w:val="30"/>
        </w:numPr>
        <w:ind w:left="567"/>
      </w:pPr>
      <w:r w:rsidRPr="00E25874">
        <w:t>Representative of the recreational fishing sector – Graham Keegan</w:t>
      </w:r>
    </w:p>
    <w:p w:rsidR="007D2095" w:rsidRDefault="00832F1E" w:rsidP="00992AEA">
      <w:pPr>
        <w:numPr>
          <w:ilvl w:val="1"/>
          <w:numId w:val="30"/>
        </w:numPr>
        <w:ind w:left="567"/>
      </w:pPr>
      <w:r>
        <w:t>Representative of the c</w:t>
      </w:r>
      <w:r w:rsidR="00E25874" w:rsidRPr="00E25874">
        <w:t xml:space="preserve">harter </w:t>
      </w:r>
      <w:r>
        <w:t>b</w:t>
      </w:r>
      <w:r w:rsidR="00E25874" w:rsidRPr="00E25874">
        <w:t xml:space="preserve">oat </w:t>
      </w:r>
      <w:r>
        <w:t>f</w:t>
      </w:r>
      <w:r w:rsidR="00E25874" w:rsidRPr="00E25874">
        <w:t>ishery – Gary Lloyd</w:t>
      </w:r>
      <w:r w:rsidR="007D2095" w:rsidRPr="007D2095">
        <w:t xml:space="preserve"> </w:t>
      </w:r>
    </w:p>
    <w:p w:rsidR="00CF620E" w:rsidRDefault="00CF620E" w:rsidP="00992AEA">
      <w:pPr>
        <w:numPr>
          <w:ilvl w:val="1"/>
          <w:numId w:val="30"/>
        </w:numPr>
        <w:ind w:left="567"/>
      </w:pPr>
      <w:r>
        <w:t xml:space="preserve">Representative of Aboriginal Traditional </w:t>
      </w:r>
      <w:r w:rsidR="00832F1E">
        <w:t>f</w:t>
      </w:r>
      <w:r>
        <w:t xml:space="preserve">ishers – yet to be appointed </w:t>
      </w:r>
    </w:p>
    <w:p w:rsidR="007D2095" w:rsidRDefault="007D2095" w:rsidP="00992AEA"/>
    <w:p w:rsidR="000E3B13" w:rsidRPr="006E25DA" w:rsidRDefault="000E3B13" w:rsidP="000E3B13">
      <w:r>
        <w:t>To ensure timely decisions are made for the MSF</w:t>
      </w:r>
      <w:r w:rsidR="00CF620E">
        <w:t xml:space="preserve"> </w:t>
      </w:r>
      <w:r w:rsidR="00832F1E">
        <w:t>r</w:t>
      </w:r>
      <w:r w:rsidR="00CF620E">
        <w:t>eform</w:t>
      </w:r>
      <w:r>
        <w:t xml:space="preserve">, the </w:t>
      </w:r>
      <w:r w:rsidRPr="007D2095">
        <w:t xml:space="preserve">scope of </w:t>
      </w:r>
      <w:r>
        <w:t xml:space="preserve">the </w:t>
      </w:r>
      <w:r w:rsidRPr="007D2095">
        <w:t xml:space="preserve">Snapper MAC </w:t>
      </w:r>
      <w:r w:rsidR="0032253C">
        <w:t>has been</w:t>
      </w:r>
      <w:r w:rsidRPr="007D2095">
        <w:t xml:space="preserve"> extended to support decision making processes </w:t>
      </w:r>
      <w:r>
        <w:t xml:space="preserve">for other MSF species </w:t>
      </w:r>
      <w:r w:rsidRPr="006E25DA">
        <w:t>and strengthen consultative arrangements across the broader MSF.  </w:t>
      </w:r>
    </w:p>
    <w:p w:rsidR="00CF620E" w:rsidRPr="006E25DA" w:rsidRDefault="00CF620E" w:rsidP="000E3B13"/>
    <w:p w:rsidR="00992FF0" w:rsidRPr="006E25DA" w:rsidRDefault="00CF620E" w:rsidP="00992FF0">
      <w:r w:rsidRPr="00160DE7">
        <w:t xml:space="preserve">The Snapper MAC will </w:t>
      </w:r>
      <w:r w:rsidR="00C3152E" w:rsidRPr="006E25DA">
        <w:t>recommend</w:t>
      </w:r>
      <w:r w:rsidRPr="00160DE7">
        <w:t xml:space="preserve"> the 2021/2022 </w:t>
      </w:r>
      <w:r w:rsidRPr="006E25DA">
        <w:t>TACC</w:t>
      </w:r>
      <w:r w:rsidR="00C3152E" w:rsidRPr="006E25DA">
        <w:t>s</w:t>
      </w:r>
      <w:r w:rsidRPr="00160DE7">
        <w:t xml:space="preserve"> for priority species</w:t>
      </w:r>
      <w:r w:rsidR="006E25DA" w:rsidRPr="00160DE7">
        <w:t xml:space="preserve"> and </w:t>
      </w:r>
      <w:r w:rsidR="006E25DA">
        <w:t>the</w:t>
      </w:r>
      <w:r w:rsidRPr="006E25DA">
        <w:t>s</w:t>
      </w:r>
      <w:r w:rsidR="006E25DA">
        <w:t>e</w:t>
      </w:r>
      <w:r w:rsidRPr="00160DE7">
        <w:t xml:space="preserve"> will be publicised in August 2020.</w:t>
      </w:r>
      <w:r w:rsidRPr="006E25DA">
        <w:t xml:space="preserve"> </w:t>
      </w:r>
    </w:p>
    <w:p w:rsidR="00992FF0" w:rsidRPr="006E25DA" w:rsidRDefault="00992FF0" w:rsidP="000E3B13"/>
    <w:p w:rsidR="00992FF0" w:rsidRDefault="00992FF0" w:rsidP="000E3B13">
      <w:r w:rsidRPr="00160DE7">
        <w:t>This decision was made as it was felt given the importance of a MSF Management Advisory Committee (MSF MAC) membership, that licence holders needed to be consulted on the membership of the committee and there was insufficient time for consultation and TACC decisions to be made in a timely manner.</w:t>
      </w:r>
      <w:r>
        <w:t xml:space="preserve"> </w:t>
      </w:r>
    </w:p>
    <w:p w:rsidR="000E3B13" w:rsidRDefault="000E3B13" w:rsidP="00992AEA"/>
    <w:p w:rsidR="000E3B13" w:rsidRPr="00C3152E" w:rsidRDefault="000E3B13" w:rsidP="00992AEA">
      <w:pPr>
        <w:rPr>
          <w:b/>
        </w:rPr>
      </w:pPr>
      <w:r w:rsidRPr="00C3152E">
        <w:rPr>
          <w:b/>
        </w:rPr>
        <w:t xml:space="preserve">It is proposed a MSF </w:t>
      </w:r>
      <w:r w:rsidR="00CF620E">
        <w:rPr>
          <w:b/>
        </w:rPr>
        <w:t>Management Advisory Committee (MSF MAC)</w:t>
      </w:r>
      <w:r w:rsidRPr="00C3152E">
        <w:rPr>
          <w:b/>
        </w:rPr>
        <w:t xml:space="preserve"> will </w:t>
      </w:r>
      <w:r w:rsidR="00CF620E" w:rsidRPr="00CF620E">
        <w:rPr>
          <w:b/>
        </w:rPr>
        <w:t>be implemented from 1 July 202</w:t>
      </w:r>
      <w:r w:rsidR="00CF620E">
        <w:rPr>
          <w:b/>
        </w:rPr>
        <w:t xml:space="preserve">1 with the following membership: </w:t>
      </w:r>
    </w:p>
    <w:p w:rsidR="000E3B13" w:rsidRDefault="000E3B13" w:rsidP="00992AEA"/>
    <w:p w:rsidR="000E3B13" w:rsidRPr="00E25874" w:rsidRDefault="000E3B13" w:rsidP="000E3B13">
      <w:pPr>
        <w:numPr>
          <w:ilvl w:val="1"/>
          <w:numId w:val="30"/>
        </w:numPr>
        <w:ind w:left="567"/>
      </w:pPr>
      <w:r w:rsidRPr="00E25874">
        <w:t xml:space="preserve">Independent Chair </w:t>
      </w:r>
    </w:p>
    <w:p w:rsidR="000E3B13" w:rsidRPr="00E25874" w:rsidRDefault="000E3B13" w:rsidP="000E3B13">
      <w:pPr>
        <w:numPr>
          <w:ilvl w:val="1"/>
          <w:numId w:val="30"/>
        </w:numPr>
        <w:ind w:left="567"/>
      </w:pPr>
      <w:r w:rsidRPr="00E25874">
        <w:t xml:space="preserve">Independent economist with expertise related to fisheries management </w:t>
      </w:r>
    </w:p>
    <w:p w:rsidR="000E3B13" w:rsidRPr="00E25874" w:rsidRDefault="000E3B13" w:rsidP="000E3B13">
      <w:pPr>
        <w:numPr>
          <w:ilvl w:val="1"/>
          <w:numId w:val="30"/>
        </w:numPr>
        <w:ind w:left="567"/>
      </w:pPr>
      <w:r w:rsidRPr="00E25874">
        <w:t xml:space="preserve">Independent fisheries scientist </w:t>
      </w:r>
    </w:p>
    <w:p w:rsidR="000E3B13" w:rsidRPr="00E25874" w:rsidRDefault="00CF620E" w:rsidP="000E3B13">
      <w:pPr>
        <w:numPr>
          <w:ilvl w:val="1"/>
          <w:numId w:val="30"/>
        </w:numPr>
        <w:ind w:left="567"/>
      </w:pPr>
      <w:r>
        <w:t>Two r</w:t>
      </w:r>
      <w:r w:rsidR="000E3B13" w:rsidRPr="00E25874">
        <w:t>epresentative</w:t>
      </w:r>
      <w:r>
        <w:t>s</w:t>
      </w:r>
      <w:r w:rsidR="000E3B13" w:rsidRPr="00E25874">
        <w:t xml:space="preserve"> </w:t>
      </w:r>
      <w:r>
        <w:t>from</w:t>
      </w:r>
      <w:r w:rsidR="000E3B13" w:rsidRPr="00E25874">
        <w:t xml:space="preserve"> the recreational fishing sector </w:t>
      </w:r>
    </w:p>
    <w:p w:rsidR="000E3B13" w:rsidRDefault="00CF620E" w:rsidP="000E3B13">
      <w:pPr>
        <w:numPr>
          <w:ilvl w:val="1"/>
          <w:numId w:val="30"/>
        </w:numPr>
        <w:ind w:left="567"/>
      </w:pPr>
      <w:r>
        <w:t>Representative of the charter boat f</w:t>
      </w:r>
      <w:r w:rsidR="000E3B13" w:rsidRPr="00E25874">
        <w:t xml:space="preserve">ishery </w:t>
      </w:r>
    </w:p>
    <w:p w:rsidR="000E3B13" w:rsidRDefault="000E3B13" w:rsidP="000E3B13">
      <w:pPr>
        <w:numPr>
          <w:ilvl w:val="1"/>
          <w:numId w:val="30"/>
        </w:numPr>
        <w:ind w:left="567"/>
      </w:pPr>
      <w:r w:rsidRPr="00E25874">
        <w:t xml:space="preserve">Representative of the </w:t>
      </w:r>
      <w:r>
        <w:t>rock lobster industry</w:t>
      </w:r>
    </w:p>
    <w:p w:rsidR="000E3B13" w:rsidRDefault="0032253C" w:rsidP="000E3B13">
      <w:pPr>
        <w:numPr>
          <w:ilvl w:val="1"/>
          <w:numId w:val="30"/>
        </w:numPr>
        <w:ind w:left="567"/>
      </w:pPr>
      <w:r>
        <w:t>Two r</w:t>
      </w:r>
      <w:r w:rsidR="000E3B13">
        <w:t>epresentative of the MSF</w:t>
      </w:r>
    </w:p>
    <w:p w:rsidR="000E3B13" w:rsidRDefault="00832F1E" w:rsidP="000E3B13">
      <w:pPr>
        <w:numPr>
          <w:ilvl w:val="1"/>
          <w:numId w:val="30"/>
        </w:numPr>
        <w:ind w:left="567"/>
      </w:pPr>
      <w:r>
        <w:t>Representative of Aboriginal T</w:t>
      </w:r>
      <w:r w:rsidR="00CF620E">
        <w:t>raditional fishers</w:t>
      </w:r>
    </w:p>
    <w:p w:rsidR="0032253C" w:rsidRPr="00E25874" w:rsidRDefault="0032253C" w:rsidP="0032253C">
      <w:pPr>
        <w:numPr>
          <w:ilvl w:val="1"/>
          <w:numId w:val="30"/>
        </w:numPr>
        <w:ind w:left="567"/>
      </w:pPr>
      <w:r>
        <w:t>PIRSA f</w:t>
      </w:r>
      <w:r w:rsidRPr="00E25874">
        <w:t xml:space="preserve">isheries management expert </w:t>
      </w:r>
    </w:p>
    <w:p w:rsidR="0032253C" w:rsidRPr="00E25874" w:rsidRDefault="0032253C" w:rsidP="0032253C">
      <w:pPr>
        <w:numPr>
          <w:ilvl w:val="1"/>
          <w:numId w:val="30"/>
        </w:numPr>
        <w:ind w:left="567"/>
      </w:pPr>
      <w:r>
        <w:t>SARDI f</w:t>
      </w:r>
      <w:r w:rsidRPr="00E25874">
        <w:t xml:space="preserve">isheries science expert </w:t>
      </w:r>
    </w:p>
    <w:p w:rsidR="000E3B13" w:rsidRDefault="000E3B13" w:rsidP="00992AEA"/>
    <w:p w:rsidR="00420BFC" w:rsidRDefault="00CF620E" w:rsidP="00992AEA">
      <w:r>
        <w:t xml:space="preserve">In </w:t>
      </w:r>
      <w:r w:rsidR="007D2095">
        <w:t xml:space="preserve">early 2021, PIRSA will establish a formal </w:t>
      </w:r>
      <w:r w:rsidR="0032253C">
        <w:t xml:space="preserve">application </w:t>
      </w:r>
      <w:r w:rsidR="007D2095">
        <w:t xml:space="preserve">process </w:t>
      </w:r>
      <w:r w:rsidR="00A33FA9">
        <w:t>for</w:t>
      </w:r>
      <w:r w:rsidR="007D2095">
        <w:t xml:space="preserve"> </w:t>
      </w:r>
      <w:r>
        <w:t>positions on the MSF MAC</w:t>
      </w:r>
      <w:r w:rsidR="007D2095">
        <w:t>.</w:t>
      </w:r>
      <w:r w:rsidR="000C53CF">
        <w:t xml:space="preserve"> The MSF MAC will be implemented from 1 July 2021 as part of the reformed fishery.</w:t>
      </w:r>
    </w:p>
    <w:p w:rsidR="00420BFC" w:rsidRDefault="00420BFC" w:rsidP="00992AEA"/>
    <w:p w:rsidR="00DD44F9" w:rsidRDefault="00DD44F9" w:rsidP="00992AEA">
      <w:r w:rsidRPr="00DD44F9">
        <w:t>The MSF MAC will commence the development of a new management plan for the fishery once established, which will include revised harvest strategies for key species</w:t>
      </w:r>
      <w:r>
        <w:t>.</w:t>
      </w:r>
    </w:p>
    <w:p w:rsidR="00DD44F9" w:rsidRPr="007D2095" w:rsidRDefault="00DD44F9" w:rsidP="00992AEA"/>
    <w:p w:rsidR="005851C1" w:rsidRPr="00992AEA" w:rsidRDefault="005851C1" w:rsidP="00992AEA">
      <w:pPr>
        <w:rPr>
          <w:b/>
        </w:rPr>
      </w:pPr>
      <w:r>
        <w:rPr>
          <w:b/>
        </w:rPr>
        <w:t xml:space="preserve">Do you have any feedback about the </w:t>
      </w:r>
      <w:r w:rsidR="00CF620E">
        <w:rPr>
          <w:b/>
        </w:rPr>
        <w:t>proposed membership of the MSF MAC</w:t>
      </w:r>
      <w:r>
        <w:rPr>
          <w:b/>
        </w:rPr>
        <w:t>? Complete the online feedback form.</w:t>
      </w:r>
    </w:p>
    <w:p w:rsidR="00732399" w:rsidRPr="00732399" w:rsidRDefault="00732399" w:rsidP="00C70060">
      <w:pPr>
        <w:pStyle w:val="Heading1"/>
      </w:pPr>
      <w:bookmarkStart w:id="23" w:name="_Toc47284557"/>
      <w:bookmarkStart w:id="24" w:name="_Toc48141143"/>
      <w:r w:rsidRPr="00732399">
        <w:t>Tiered management framework</w:t>
      </w:r>
      <w:bookmarkEnd w:id="23"/>
      <w:bookmarkEnd w:id="24"/>
      <w:r w:rsidRPr="00732399">
        <w:t xml:space="preserve"> </w:t>
      </w:r>
    </w:p>
    <w:p w:rsidR="00A16D73" w:rsidRDefault="00A16D73" w:rsidP="00C70060">
      <w:pPr>
        <w:pStyle w:val="BodyText"/>
        <w:rPr>
          <w:rFonts w:cs="Arial"/>
        </w:rPr>
      </w:pPr>
      <w:r>
        <w:t xml:space="preserve">The </w:t>
      </w:r>
      <w:hyperlink r:id="rId17" w:history="1">
        <w:r w:rsidRPr="007F45EF">
          <w:rPr>
            <w:rStyle w:val="Hyperlink"/>
            <w:rFonts w:cs="Arial"/>
          </w:rPr>
          <w:t>Industry Consultation paper</w:t>
        </w:r>
      </w:hyperlink>
      <w:r>
        <w:rPr>
          <w:rFonts w:cs="Arial"/>
        </w:rPr>
        <w:t xml:space="preserve"> </w:t>
      </w:r>
      <w:r>
        <w:t xml:space="preserve">provided to </w:t>
      </w:r>
      <w:proofErr w:type="spellStart"/>
      <w:r>
        <w:t>licence</w:t>
      </w:r>
      <w:proofErr w:type="spellEnd"/>
      <w:r>
        <w:t xml:space="preserve"> holders in September 2019, introduced a three tiered management framework for managing </w:t>
      </w:r>
      <w:r>
        <w:rPr>
          <w:szCs w:val="22"/>
        </w:rPr>
        <w:t>the four priority species</w:t>
      </w:r>
      <w:r>
        <w:t xml:space="preserve">; </w:t>
      </w:r>
      <w:r>
        <w:rPr>
          <w:rFonts w:cs="Arial"/>
        </w:rPr>
        <w:t>snapper, King George whiting, southern calamari and southern garfish.</w:t>
      </w:r>
      <w:r>
        <w:rPr>
          <w:rFonts w:cs="Arial"/>
        </w:rPr>
        <w:br/>
      </w:r>
    </w:p>
    <w:p w:rsidR="00A16D73" w:rsidRPr="009F108A" w:rsidRDefault="00A16D73" w:rsidP="00C70060">
      <w:pPr>
        <w:pStyle w:val="ListParagraph"/>
        <w:numPr>
          <w:ilvl w:val="0"/>
          <w:numId w:val="20"/>
        </w:numPr>
        <w:spacing w:after="160" w:line="259" w:lineRule="auto"/>
        <w:ind w:left="567"/>
        <w:rPr>
          <w:rFonts w:cs="Arial"/>
        </w:rPr>
      </w:pPr>
      <w:r w:rsidRPr="009F108A">
        <w:rPr>
          <w:rFonts w:cs="Arial"/>
        </w:rPr>
        <w:t xml:space="preserve">Tier 1 </w:t>
      </w:r>
      <w:r>
        <w:rPr>
          <w:rFonts w:cs="Arial"/>
        </w:rPr>
        <w:t xml:space="preserve">- </w:t>
      </w:r>
      <w:r w:rsidRPr="009F108A">
        <w:rPr>
          <w:rFonts w:cs="Arial"/>
        </w:rPr>
        <w:t xml:space="preserve">highly regulated </w:t>
      </w:r>
      <w:r>
        <w:rPr>
          <w:rFonts w:cs="Arial"/>
        </w:rPr>
        <w:t xml:space="preserve">ITQ </w:t>
      </w:r>
      <w:r w:rsidRPr="009F108A">
        <w:rPr>
          <w:rFonts w:cs="Arial"/>
        </w:rPr>
        <w:t>system</w:t>
      </w:r>
      <w:r>
        <w:rPr>
          <w:rFonts w:cs="Arial"/>
        </w:rPr>
        <w:t xml:space="preserve"> managed within a TACC</w:t>
      </w:r>
    </w:p>
    <w:p w:rsidR="00A16D73" w:rsidRPr="009F108A" w:rsidRDefault="00A16D73" w:rsidP="00C70060">
      <w:pPr>
        <w:pStyle w:val="ListParagraph"/>
        <w:numPr>
          <w:ilvl w:val="0"/>
          <w:numId w:val="20"/>
        </w:numPr>
        <w:spacing w:after="160" w:line="259" w:lineRule="auto"/>
        <w:ind w:left="567"/>
        <w:rPr>
          <w:rFonts w:cs="Arial"/>
        </w:rPr>
      </w:pPr>
      <w:r w:rsidRPr="009F108A">
        <w:rPr>
          <w:rFonts w:cs="Arial"/>
        </w:rPr>
        <w:t xml:space="preserve">Tier 2 </w:t>
      </w:r>
      <w:r>
        <w:rPr>
          <w:rFonts w:cs="Arial"/>
        </w:rPr>
        <w:t>- management arrangements designed to constrain the total catch within a Recommended Biological Catch (RBC) limit</w:t>
      </w:r>
      <w:r w:rsidR="00992FF0">
        <w:rPr>
          <w:rFonts w:cs="Arial"/>
        </w:rPr>
        <w:t xml:space="preserve"> </w:t>
      </w:r>
    </w:p>
    <w:p w:rsidR="00A16D73" w:rsidRPr="009F108A" w:rsidRDefault="00A16D73" w:rsidP="00C70060">
      <w:pPr>
        <w:pStyle w:val="ListParagraph"/>
        <w:numPr>
          <w:ilvl w:val="0"/>
          <w:numId w:val="20"/>
        </w:numPr>
        <w:spacing w:after="160" w:line="259" w:lineRule="auto"/>
        <w:ind w:left="567"/>
        <w:rPr>
          <w:rFonts w:cs="Arial"/>
        </w:rPr>
      </w:pPr>
      <w:r w:rsidRPr="009F108A">
        <w:rPr>
          <w:rFonts w:cs="Arial"/>
        </w:rPr>
        <w:t xml:space="preserve">Tier 3 </w:t>
      </w:r>
      <w:r>
        <w:rPr>
          <w:rFonts w:cs="Arial"/>
        </w:rPr>
        <w:t xml:space="preserve">- </w:t>
      </w:r>
      <w:r w:rsidRPr="009F108A">
        <w:rPr>
          <w:rFonts w:cs="Arial"/>
        </w:rPr>
        <w:t>monitored against prescribed performance indicators</w:t>
      </w:r>
    </w:p>
    <w:p w:rsidR="00A16D73" w:rsidRPr="007E07AE" w:rsidRDefault="00A16D73" w:rsidP="00992AEA">
      <w:pPr>
        <w:rPr>
          <w:rFonts w:cs="Arial"/>
          <w:szCs w:val="22"/>
        </w:rPr>
      </w:pPr>
      <w:r w:rsidRPr="007E07AE">
        <w:rPr>
          <w:rFonts w:cs="Arial"/>
          <w:szCs w:val="22"/>
        </w:rPr>
        <w:t xml:space="preserve">A </w:t>
      </w:r>
      <w:r w:rsidR="00992FF0">
        <w:rPr>
          <w:rFonts w:cs="Arial"/>
          <w:szCs w:val="22"/>
        </w:rPr>
        <w:t xml:space="preserve">PIRSA working group is developing a simple </w:t>
      </w:r>
      <w:r w:rsidRPr="007E07AE">
        <w:rPr>
          <w:rFonts w:cs="Arial"/>
          <w:szCs w:val="22"/>
        </w:rPr>
        <w:t xml:space="preserve">decision-making framework </w:t>
      </w:r>
      <w:r w:rsidR="00992FF0">
        <w:rPr>
          <w:rFonts w:cs="Arial"/>
          <w:szCs w:val="22"/>
        </w:rPr>
        <w:t xml:space="preserve">as a tool for the MSF MAC to support consideration of whether a species in a zone </w:t>
      </w:r>
      <w:r w:rsidR="00C3152E">
        <w:rPr>
          <w:rFonts w:cs="Arial"/>
          <w:szCs w:val="22"/>
        </w:rPr>
        <w:t>should move from a Tier 3 to Tier 2</w:t>
      </w:r>
      <w:r w:rsidR="002F0925">
        <w:rPr>
          <w:rFonts w:cs="Arial"/>
          <w:szCs w:val="22"/>
        </w:rPr>
        <w:t>,</w:t>
      </w:r>
      <w:r w:rsidR="00C3152E">
        <w:rPr>
          <w:rFonts w:cs="Arial"/>
          <w:szCs w:val="22"/>
        </w:rPr>
        <w:t xml:space="preserve"> or Tier 2 to T</w:t>
      </w:r>
      <w:r w:rsidR="00992FF0">
        <w:rPr>
          <w:rFonts w:cs="Arial"/>
          <w:szCs w:val="22"/>
        </w:rPr>
        <w:t xml:space="preserve">ier 1. The </w:t>
      </w:r>
      <w:r w:rsidRPr="007E07AE">
        <w:rPr>
          <w:rFonts w:cs="Arial"/>
          <w:szCs w:val="22"/>
        </w:rPr>
        <w:t xml:space="preserve">key criteria of </w:t>
      </w:r>
      <w:r w:rsidR="00992FF0">
        <w:rPr>
          <w:rFonts w:cs="Arial"/>
          <w:szCs w:val="22"/>
        </w:rPr>
        <w:t>the framework include consideration of a species</w:t>
      </w:r>
      <w:r w:rsidR="00992FF0" w:rsidRPr="007E07AE">
        <w:rPr>
          <w:rFonts w:cs="Arial"/>
          <w:szCs w:val="22"/>
        </w:rPr>
        <w:t xml:space="preserve"> </w:t>
      </w:r>
      <w:r w:rsidRPr="007E07AE">
        <w:rPr>
          <w:rFonts w:cs="Arial"/>
          <w:szCs w:val="22"/>
        </w:rPr>
        <w:t>stock status; their importance to the recreational, indigenous and commercial fishing sectors; target levels</w:t>
      </w:r>
      <w:r w:rsidR="00C3152E">
        <w:rPr>
          <w:rFonts w:cs="Arial"/>
          <w:szCs w:val="22"/>
        </w:rPr>
        <w:t>;</w:t>
      </w:r>
      <w:r w:rsidRPr="007E07AE">
        <w:rPr>
          <w:rFonts w:cs="Arial"/>
          <w:szCs w:val="22"/>
        </w:rPr>
        <w:t xml:space="preserve"> and their vulnerability to overfishing.</w:t>
      </w:r>
    </w:p>
    <w:p w:rsidR="00732399" w:rsidRPr="007B3449" w:rsidRDefault="00732399" w:rsidP="00C70060">
      <w:pPr>
        <w:pStyle w:val="Heading1"/>
      </w:pPr>
      <w:bookmarkStart w:id="25" w:name="_Toc47284558"/>
      <w:bookmarkStart w:id="26" w:name="_Toc48141144"/>
      <w:r w:rsidRPr="007B3449">
        <w:t>Red tape reduction</w:t>
      </w:r>
      <w:bookmarkEnd w:id="25"/>
      <w:bookmarkEnd w:id="26"/>
      <w:r w:rsidRPr="007B3449">
        <w:t xml:space="preserve"> </w:t>
      </w:r>
    </w:p>
    <w:p w:rsidR="00727E29" w:rsidRDefault="00727E29" w:rsidP="00992AEA">
      <w:pPr>
        <w:spacing w:before="220"/>
      </w:pPr>
      <w:r>
        <w:t xml:space="preserve">A </w:t>
      </w:r>
      <w:r w:rsidR="00D9238F">
        <w:t xml:space="preserve">Red Tape Reduction </w:t>
      </w:r>
      <w:r>
        <w:t xml:space="preserve">Working Group </w:t>
      </w:r>
      <w:r w:rsidR="00D9238F">
        <w:t xml:space="preserve">has </w:t>
      </w:r>
      <w:r>
        <w:t>be</w:t>
      </w:r>
      <w:r w:rsidR="00D9238F">
        <w:t>en</w:t>
      </w:r>
      <w:r>
        <w:t xml:space="preserve"> established</w:t>
      </w:r>
      <w:r w:rsidR="00D9238F">
        <w:t xml:space="preserve"> to</w:t>
      </w:r>
      <w:r>
        <w:t xml:space="preserve"> support </w:t>
      </w:r>
      <w:r w:rsidR="0032253C">
        <w:t>the identification of</w:t>
      </w:r>
      <w:r>
        <w:t xml:space="preserve"> potential amendments to regulations, licence conditions and management arrangements under the</w:t>
      </w:r>
      <w:r w:rsidRPr="00A43AD7">
        <w:t xml:space="preserve"> </w:t>
      </w:r>
      <w:r>
        <w:rPr>
          <w:i/>
        </w:rPr>
        <w:t>Fisheries Management Act 2007</w:t>
      </w:r>
      <w:r>
        <w:t xml:space="preserve">. This </w:t>
      </w:r>
      <w:r w:rsidR="00D9238F">
        <w:t>work</w:t>
      </w:r>
      <w:r w:rsidR="00900E52">
        <w:t xml:space="preserve"> will take place during the next few months and</w:t>
      </w:r>
      <w:r w:rsidR="00D9238F">
        <w:t xml:space="preserve"> aims</w:t>
      </w:r>
      <w:r w:rsidR="00D9238F">
        <w:rPr>
          <w:i/>
        </w:rPr>
        <w:t xml:space="preserve"> </w:t>
      </w:r>
      <w:r>
        <w:t xml:space="preserve">to </w:t>
      </w:r>
      <w:r w:rsidRPr="00A43AD7">
        <w:t xml:space="preserve">support further regulatory reform </w:t>
      </w:r>
      <w:r>
        <w:t>in the M</w:t>
      </w:r>
      <w:r w:rsidR="005835BE">
        <w:t>SF</w:t>
      </w:r>
      <w:r>
        <w:t xml:space="preserve"> and drive efficiencies in fishing operations, and cost-effective management and administration under the </w:t>
      </w:r>
      <w:r w:rsidRPr="00A43AD7">
        <w:t>Act</w:t>
      </w:r>
      <w:r>
        <w:t>.</w:t>
      </w:r>
    </w:p>
    <w:p w:rsidR="00727E29" w:rsidRDefault="00727E29" w:rsidP="00992AEA"/>
    <w:p w:rsidR="005835BE" w:rsidRDefault="008827E7" w:rsidP="005835BE">
      <w:r>
        <w:rPr>
          <w:rFonts w:cs="Arial"/>
          <w:szCs w:val="22"/>
        </w:rPr>
        <w:t xml:space="preserve">There are </w:t>
      </w:r>
      <w:r w:rsidR="00B9195A">
        <w:rPr>
          <w:rFonts w:cs="Arial"/>
          <w:szCs w:val="22"/>
        </w:rPr>
        <w:t>many</w:t>
      </w:r>
      <w:r>
        <w:rPr>
          <w:rFonts w:cs="Arial"/>
          <w:szCs w:val="22"/>
        </w:rPr>
        <w:t xml:space="preserve"> </w:t>
      </w:r>
      <w:r w:rsidR="005835BE">
        <w:rPr>
          <w:rFonts w:cs="Arial"/>
          <w:szCs w:val="22"/>
        </w:rPr>
        <w:t xml:space="preserve">historical </w:t>
      </w:r>
      <w:r>
        <w:rPr>
          <w:rFonts w:cs="Arial"/>
          <w:szCs w:val="22"/>
        </w:rPr>
        <w:t>regulations, licence conditions and management arrangements (i</w:t>
      </w:r>
      <w:r w:rsidR="005835BE">
        <w:rPr>
          <w:rFonts w:cs="Arial"/>
          <w:szCs w:val="22"/>
        </w:rPr>
        <w:t>.</w:t>
      </w:r>
      <w:r>
        <w:rPr>
          <w:rFonts w:cs="Arial"/>
          <w:szCs w:val="22"/>
        </w:rPr>
        <w:t>e</w:t>
      </w:r>
      <w:r w:rsidR="005835BE">
        <w:rPr>
          <w:rFonts w:cs="Arial"/>
          <w:szCs w:val="22"/>
        </w:rPr>
        <w:t>.</w:t>
      </w:r>
      <w:r>
        <w:rPr>
          <w:rFonts w:cs="Arial"/>
          <w:szCs w:val="22"/>
        </w:rPr>
        <w:t xml:space="preserve"> netting closures, limitations on gear and transferring of gear) that </w:t>
      </w:r>
      <w:r w:rsidR="0048526C">
        <w:rPr>
          <w:rFonts w:cs="Arial"/>
          <w:szCs w:val="22"/>
        </w:rPr>
        <w:t>were</w:t>
      </w:r>
      <w:r>
        <w:rPr>
          <w:rFonts w:cs="Arial"/>
          <w:szCs w:val="22"/>
        </w:rPr>
        <w:t xml:space="preserve"> implemented to manage</w:t>
      </w:r>
      <w:r w:rsidR="0048526C">
        <w:rPr>
          <w:rFonts w:cs="Arial"/>
          <w:szCs w:val="22"/>
        </w:rPr>
        <w:t xml:space="preserve"> the</w:t>
      </w:r>
      <w:r>
        <w:rPr>
          <w:rFonts w:cs="Arial"/>
          <w:szCs w:val="22"/>
        </w:rPr>
        <w:t xml:space="preserve"> MSF.</w:t>
      </w:r>
    </w:p>
    <w:p w:rsidR="005835BE" w:rsidRDefault="005835BE" w:rsidP="005835BE"/>
    <w:p w:rsidR="005835BE" w:rsidRDefault="00727E29" w:rsidP="005835BE">
      <w:r>
        <w:t xml:space="preserve">The Working Group will </w:t>
      </w:r>
      <w:r w:rsidR="006C747B">
        <w:t xml:space="preserve">consult with industry to </w:t>
      </w:r>
      <w:r>
        <w:t>identify op</w:t>
      </w:r>
      <w:r w:rsidR="005835BE">
        <w:t>portunities for further reform.</w:t>
      </w:r>
    </w:p>
    <w:p w:rsidR="005835BE" w:rsidRDefault="005835BE" w:rsidP="005835BE"/>
    <w:p w:rsidR="005835BE" w:rsidRDefault="006C747B" w:rsidP="005835BE">
      <w:r>
        <w:t xml:space="preserve">The Working Group will provide this information to PIRSA and the Minister for consideration of </w:t>
      </w:r>
      <w:r w:rsidR="00727E29" w:rsidRPr="00DB6C4C">
        <w:t>potential legislative, management and licence condition amendments to allow greater efficiencies in line with the objects</w:t>
      </w:r>
      <w:r w:rsidR="00727E29">
        <w:t xml:space="preserve"> of the Act</w:t>
      </w:r>
      <w:r w:rsidR="00727E29" w:rsidRPr="00DB6C4C">
        <w:t>.</w:t>
      </w:r>
    </w:p>
    <w:p w:rsidR="005835BE" w:rsidRDefault="005835BE" w:rsidP="005835BE"/>
    <w:p w:rsidR="00727E29" w:rsidRDefault="00727E29" w:rsidP="005835BE">
      <w:pPr>
        <w:rPr>
          <w:rFonts w:cs="Arial"/>
        </w:rPr>
      </w:pPr>
      <w:r>
        <w:lastRenderedPageBreak/>
        <w:t xml:space="preserve">The Working Group </w:t>
      </w:r>
      <w:r w:rsidR="00D9238F">
        <w:t>is</w:t>
      </w:r>
      <w:r>
        <w:t xml:space="preserve"> comprised of an Independent Chair, eleven industry members and three </w:t>
      </w:r>
      <w:r w:rsidR="006C747B">
        <w:t xml:space="preserve">observers </w:t>
      </w:r>
      <w:r>
        <w:t xml:space="preserve">from PIRSA </w:t>
      </w:r>
      <w:r w:rsidR="00B9195A">
        <w:t>(see below)</w:t>
      </w:r>
      <w:r>
        <w:t xml:space="preserve">. </w:t>
      </w:r>
      <w:r>
        <w:rPr>
          <w:rFonts w:cs="Arial"/>
        </w:rPr>
        <w:t xml:space="preserve">Industry members include licence holders across various zones and gear types to ensure </w:t>
      </w:r>
      <w:r w:rsidR="00B9195A">
        <w:rPr>
          <w:rFonts w:cs="Arial"/>
        </w:rPr>
        <w:t xml:space="preserve">expertise </w:t>
      </w:r>
      <w:r>
        <w:rPr>
          <w:rFonts w:cs="Arial"/>
        </w:rPr>
        <w:t xml:space="preserve">of a broad range of licence holder </w:t>
      </w:r>
      <w:r w:rsidR="00B9195A">
        <w:rPr>
          <w:rFonts w:cs="Arial"/>
        </w:rPr>
        <w:t>issues across the fishery</w:t>
      </w:r>
      <w:r>
        <w:rPr>
          <w:rFonts w:cs="Arial"/>
        </w:rPr>
        <w:t>.</w:t>
      </w:r>
    </w:p>
    <w:p w:rsidR="005835BE" w:rsidRPr="005835BE" w:rsidRDefault="005835BE" w:rsidP="005835BE"/>
    <w:p w:rsidR="00B9195A" w:rsidRDefault="00B9195A" w:rsidP="00992AEA">
      <w:pPr>
        <w:spacing w:after="120"/>
        <w:rPr>
          <w:b/>
        </w:rPr>
      </w:pPr>
      <w:r>
        <w:rPr>
          <w:b/>
        </w:rPr>
        <w:t xml:space="preserve">Membership of </w:t>
      </w:r>
      <w:r w:rsidRPr="00B9195A">
        <w:rPr>
          <w:b/>
        </w:rPr>
        <w:t>Red Tape Reduction Working Group</w:t>
      </w:r>
    </w:p>
    <w:p w:rsidR="00996FB1" w:rsidRPr="00992AEA" w:rsidRDefault="00996FB1" w:rsidP="00992AEA">
      <w:pPr>
        <w:spacing w:after="120"/>
        <w:rPr>
          <w:b/>
        </w:rPr>
      </w:pPr>
      <w:r>
        <w:rPr>
          <w:b/>
        </w:rPr>
        <w:t xml:space="preserve">Independent Chair: </w:t>
      </w:r>
      <w:r>
        <w:t>T</w:t>
      </w:r>
      <w:r w:rsidRPr="00996FB1">
        <w:t>he Hon Stephen Baker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982"/>
        <w:gridCol w:w="1134"/>
        <w:gridCol w:w="3789"/>
      </w:tblGrid>
      <w:tr w:rsidR="00C903A7" w:rsidRPr="00C903A7" w:rsidTr="00E93F21">
        <w:tc>
          <w:tcPr>
            <w:tcW w:w="2410" w:type="dxa"/>
            <w:tcBorders>
              <w:bottom w:val="single" w:sz="4" w:space="0" w:color="auto"/>
            </w:tcBorders>
          </w:tcPr>
          <w:p w:rsidR="00C903A7" w:rsidRPr="00C903A7" w:rsidRDefault="00C903A7" w:rsidP="00992AEA">
            <w:pPr>
              <w:rPr>
                <w:rFonts w:cs="Arial"/>
                <w:b/>
              </w:rPr>
            </w:pPr>
            <w:r w:rsidRPr="00C903A7">
              <w:rPr>
                <w:rFonts w:cs="Arial"/>
                <w:b/>
              </w:rPr>
              <w:t>Industry</w:t>
            </w:r>
          </w:p>
        </w:tc>
        <w:tc>
          <w:tcPr>
            <w:tcW w:w="982" w:type="dxa"/>
            <w:tcBorders>
              <w:bottom w:val="single" w:sz="4" w:space="0" w:color="auto"/>
            </w:tcBorders>
          </w:tcPr>
          <w:p w:rsidR="00C903A7" w:rsidRPr="00C903A7" w:rsidRDefault="00C903A7" w:rsidP="00992AEA">
            <w:pPr>
              <w:rPr>
                <w:rFonts w:cs="Arial"/>
                <w:b/>
              </w:rPr>
            </w:pPr>
            <w:r w:rsidRPr="00C903A7">
              <w:rPr>
                <w:rFonts w:cs="Arial"/>
                <w:b/>
              </w:rPr>
              <w:t>Gear</w:t>
            </w:r>
          </w:p>
        </w:tc>
        <w:tc>
          <w:tcPr>
            <w:tcW w:w="1134" w:type="dxa"/>
            <w:tcBorders>
              <w:bottom w:val="single" w:sz="4" w:space="0" w:color="auto"/>
              <w:right w:val="single" w:sz="4" w:space="0" w:color="auto"/>
            </w:tcBorders>
          </w:tcPr>
          <w:p w:rsidR="00C903A7" w:rsidRPr="00C903A7" w:rsidRDefault="00C903A7" w:rsidP="00992AEA">
            <w:pPr>
              <w:rPr>
                <w:rFonts w:cs="Arial"/>
                <w:b/>
              </w:rPr>
            </w:pPr>
            <w:r w:rsidRPr="00C903A7">
              <w:rPr>
                <w:rFonts w:cs="Arial"/>
                <w:b/>
              </w:rPr>
              <w:t>Region</w:t>
            </w:r>
          </w:p>
        </w:tc>
        <w:tc>
          <w:tcPr>
            <w:tcW w:w="3789" w:type="dxa"/>
            <w:tcBorders>
              <w:left w:val="single" w:sz="4" w:space="0" w:color="auto"/>
              <w:bottom w:val="single" w:sz="4" w:space="0" w:color="auto"/>
            </w:tcBorders>
          </w:tcPr>
          <w:p w:rsidR="00C903A7" w:rsidRPr="00C903A7" w:rsidRDefault="00C903A7" w:rsidP="00992AEA">
            <w:pPr>
              <w:rPr>
                <w:rFonts w:cs="Arial"/>
                <w:b/>
              </w:rPr>
            </w:pPr>
            <w:r w:rsidRPr="00C903A7">
              <w:rPr>
                <w:rFonts w:cs="Arial"/>
                <w:b/>
              </w:rPr>
              <w:t>PIRSA</w:t>
            </w:r>
            <w:r w:rsidR="006C747B">
              <w:rPr>
                <w:rFonts w:cs="Arial"/>
                <w:b/>
              </w:rPr>
              <w:t xml:space="preserve"> Observers</w:t>
            </w:r>
          </w:p>
        </w:tc>
      </w:tr>
      <w:tr w:rsidR="00C903A7" w:rsidRPr="00C903A7" w:rsidTr="00E93F21">
        <w:tc>
          <w:tcPr>
            <w:tcW w:w="2410" w:type="dxa"/>
            <w:tcBorders>
              <w:top w:val="single" w:sz="4" w:space="0" w:color="auto"/>
            </w:tcBorders>
          </w:tcPr>
          <w:p w:rsidR="00C903A7" w:rsidRPr="00C903A7" w:rsidRDefault="00C903A7" w:rsidP="00992AEA">
            <w:pPr>
              <w:rPr>
                <w:rFonts w:cs="Arial"/>
              </w:rPr>
            </w:pPr>
            <w:r w:rsidRPr="00C903A7">
              <w:rPr>
                <w:rFonts w:cs="Arial"/>
              </w:rPr>
              <w:t>Gary Morgan</w:t>
            </w:r>
          </w:p>
        </w:tc>
        <w:tc>
          <w:tcPr>
            <w:tcW w:w="982" w:type="dxa"/>
            <w:tcBorders>
              <w:top w:val="single" w:sz="4" w:space="0" w:color="auto"/>
            </w:tcBorders>
          </w:tcPr>
          <w:p w:rsidR="00C903A7" w:rsidRPr="00C903A7" w:rsidRDefault="00C903A7" w:rsidP="00992AEA">
            <w:pPr>
              <w:rPr>
                <w:rFonts w:cs="Arial"/>
              </w:rPr>
            </w:pPr>
            <w:r w:rsidRPr="00C903A7">
              <w:rPr>
                <w:rFonts w:cs="Arial"/>
              </w:rPr>
              <w:t>N/A</w:t>
            </w:r>
          </w:p>
        </w:tc>
        <w:tc>
          <w:tcPr>
            <w:tcW w:w="1134" w:type="dxa"/>
            <w:tcBorders>
              <w:top w:val="single" w:sz="4" w:space="0" w:color="auto"/>
              <w:right w:val="single" w:sz="4" w:space="0" w:color="auto"/>
            </w:tcBorders>
          </w:tcPr>
          <w:p w:rsidR="00C903A7" w:rsidRPr="00C903A7" w:rsidRDefault="00C903A7" w:rsidP="00992AEA">
            <w:pPr>
              <w:rPr>
                <w:rFonts w:cs="Arial"/>
              </w:rPr>
            </w:pPr>
            <w:r w:rsidRPr="00C903A7">
              <w:rPr>
                <w:rFonts w:cs="Arial"/>
              </w:rPr>
              <w:t>N/A</w:t>
            </w:r>
          </w:p>
        </w:tc>
        <w:tc>
          <w:tcPr>
            <w:tcW w:w="3789" w:type="dxa"/>
            <w:tcBorders>
              <w:top w:val="single" w:sz="4" w:space="0" w:color="auto"/>
              <w:left w:val="single" w:sz="4" w:space="0" w:color="auto"/>
            </w:tcBorders>
          </w:tcPr>
          <w:p w:rsidR="00C903A7" w:rsidRPr="00C903A7" w:rsidRDefault="00C903A7" w:rsidP="00992AEA">
            <w:pPr>
              <w:rPr>
                <w:rFonts w:cs="Arial"/>
              </w:rPr>
            </w:pPr>
            <w:r w:rsidRPr="00C903A7">
              <w:rPr>
                <w:rFonts w:cs="Arial"/>
              </w:rPr>
              <w:t>Belinda McGrath-Steer</w:t>
            </w:r>
          </w:p>
        </w:tc>
      </w:tr>
      <w:tr w:rsidR="00C903A7" w:rsidRPr="00C903A7" w:rsidTr="00E93F21">
        <w:tc>
          <w:tcPr>
            <w:tcW w:w="2410" w:type="dxa"/>
          </w:tcPr>
          <w:p w:rsidR="00C903A7" w:rsidRPr="00C903A7" w:rsidRDefault="00C903A7" w:rsidP="00992AEA">
            <w:pPr>
              <w:rPr>
                <w:rFonts w:cs="Arial"/>
              </w:rPr>
            </w:pPr>
            <w:r w:rsidRPr="00C903A7">
              <w:rPr>
                <w:rFonts w:cs="Arial"/>
              </w:rPr>
              <w:t xml:space="preserve">Graham </w:t>
            </w:r>
            <w:proofErr w:type="spellStart"/>
            <w:r w:rsidRPr="00C903A7">
              <w:rPr>
                <w:rFonts w:cs="Arial"/>
              </w:rPr>
              <w:t>Harrowfield</w:t>
            </w:r>
            <w:proofErr w:type="spellEnd"/>
          </w:p>
        </w:tc>
        <w:tc>
          <w:tcPr>
            <w:tcW w:w="982" w:type="dxa"/>
          </w:tcPr>
          <w:p w:rsidR="00C903A7" w:rsidRPr="00C903A7" w:rsidRDefault="00C903A7" w:rsidP="00992AEA">
            <w:pPr>
              <w:rPr>
                <w:rFonts w:cs="Arial"/>
              </w:rPr>
            </w:pPr>
            <w:r w:rsidRPr="00C903A7">
              <w:rPr>
                <w:rFonts w:cs="Arial"/>
              </w:rPr>
              <w:t>Net</w:t>
            </w:r>
          </w:p>
        </w:tc>
        <w:tc>
          <w:tcPr>
            <w:tcW w:w="1134" w:type="dxa"/>
            <w:tcBorders>
              <w:right w:val="single" w:sz="4" w:space="0" w:color="auto"/>
            </w:tcBorders>
          </w:tcPr>
          <w:p w:rsidR="00C903A7" w:rsidRPr="00C903A7" w:rsidRDefault="00C903A7" w:rsidP="00992AEA">
            <w:pPr>
              <w:rPr>
                <w:rFonts w:cs="Arial"/>
              </w:rPr>
            </w:pPr>
            <w:r w:rsidRPr="00C903A7">
              <w:rPr>
                <w:rFonts w:cs="Arial"/>
              </w:rPr>
              <w:t>SG</w:t>
            </w:r>
          </w:p>
        </w:tc>
        <w:tc>
          <w:tcPr>
            <w:tcW w:w="3789" w:type="dxa"/>
            <w:tcBorders>
              <w:left w:val="single" w:sz="4" w:space="0" w:color="auto"/>
            </w:tcBorders>
          </w:tcPr>
          <w:p w:rsidR="00C903A7" w:rsidRPr="00C903A7" w:rsidRDefault="00C903A7" w:rsidP="00992AEA">
            <w:pPr>
              <w:rPr>
                <w:rFonts w:cs="Arial"/>
              </w:rPr>
            </w:pPr>
            <w:r w:rsidRPr="00C903A7">
              <w:rPr>
                <w:rFonts w:cs="Arial"/>
              </w:rPr>
              <w:t>Pat Tripodi</w:t>
            </w:r>
          </w:p>
        </w:tc>
      </w:tr>
      <w:tr w:rsidR="00C903A7" w:rsidRPr="00C903A7" w:rsidTr="00E93F21">
        <w:tc>
          <w:tcPr>
            <w:tcW w:w="2410" w:type="dxa"/>
          </w:tcPr>
          <w:p w:rsidR="00C903A7" w:rsidRPr="00C903A7" w:rsidRDefault="00C903A7" w:rsidP="00992AEA">
            <w:pPr>
              <w:rPr>
                <w:rFonts w:cs="Arial"/>
              </w:rPr>
            </w:pPr>
            <w:r w:rsidRPr="00C903A7">
              <w:rPr>
                <w:rFonts w:cs="Arial"/>
              </w:rPr>
              <w:t>Mike Elton</w:t>
            </w:r>
          </w:p>
        </w:tc>
        <w:tc>
          <w:tcPr>
            <w:tcW w:w="982" w:type="dxa"/>
          </w:tcPr>
          <w:p w:rsidR="00C903A7" w:rsidRPr="00C903A7" w:rsidRDefault="00C903A7" w:rsidP="00992AEA">
            <w:pPr>
              <w:rPr>
                <w:rFonts w:cs="Arial"/>
              </w:rPr>
            </w:pPr>
            <w:r w:rsidRPr="00C903A7">
              <w:rPr>
                <w:rFonts w:cs="Arial"/>
              </w:rPr>
              <w:t>Line</w:t>
            </w:r>
          </w:p>
        </w:tc>
        <w:tc>
          <w:tcPr>
            <w:tcW w:w="1134" w:type="dxa"/>
            <w:tcBorders>
              <w:right w:val="single" w:sz="4" w:space="0" w:color="auto"/>
            </w:tcBorders>
          </w:tcPr>
          <w:p w:rsidR="00C903A7" w:rsidRPr="00C903A7" w:rsidRDefault="00C903A7" w:rsidP="00992AEA">
            <w:pPr>
              <w:rPr>
                <w:rFonts w:cs="Arial"/>
              </w:rPr>
            </w:pPr>
            <w:r w:rsidRPr="00C903A7">
              <w:rPr>
                <w:rFonts w:cs="Arial"/>
              </w:rPr>
              <w:t>SG</w:t>
            </w:r>
          </w:p>
        </w:tc>
        <w:tc>
          <w:tcPr>
            <w:tcW w:w="3789" w:type="dxa"/>
            <w:tcBorders>
              <w:left w:val="single" w:sz="4" w:space="0" w:color="auto"/>
            </w:tcBorders>
          </w:tcPr>
          <w:p w:rsidR="00C903A7" w:rsidRPr="00C903A7" w:rsidRDefault="00C903A7" w:rsidP="00992AEA">
            <w:pPr>
              <w:rPr>
                <w:rFonts w:cs="Arial"/>
              </w:rPr>
            </w:pPr>
            <w:r w:rsidRPr="00C903A7">
              <w:rPr>
                <w:rFonts w:cs="Arial"/>
              </w:rPr>
              <w:t>Olivia Rundle</w:t>
            </w:r>
          </w:p>
        </w:tc>
      </w:tr>
      <w:tr w:rsidR="00C903A7" w:rsidRPr="00C903A7" w:rsidTr="00E93F21">
        <w:tc>
          <w:tcPr>
            <w:tcW w:w="2410" w:type="dxa"/>
          </w:tcPr>
          <w:p w:rsidR="00C903A7" w:rsidRPr="00C903A7" w:rsidRDefault="00C903A7" w:rsidP="00992AEA">
            <w:pPr>
              <w:rPr>
                <w:rFonts w:cs="Arial"/>
              </w:rPr>
            </w:pPr>
            <w:r w:rsidRPr="00C903A7">
              <w:rPr>
                <w:rFonts w:cs="Arial"/>
              </w:rPr>
              <w:t>Craig Fletcher</w:t>
            </w:r>
          </w:p>
        </w:tc>
        <w:tc>
          <w:tcPr>
            <w:tcW w:w="982" w:type="dxa"/>
          </w:tcPr>
          <w:p w:rsidR="00C903A7" w:rsidRPr="00C903A7" w:rsidRDefault="00C903A7" w:rsidP="00992AEA">
            <w:pPr>
              <w:rPr>
                <w:rFonts w:cs="Arial"/>
              </w:rPr>
            </w:pPr>
            <w:r w:rsidRPr="00C903A7">
              <w:rPr>
                <w:rFonts w:cs="Arial"/>
              </w:rPr>
              <w:t>Line</w:t>
            </w:r>
          </w:p>
        </w:tc>
        <w:tc>
          <w:tcPr>
            <w:tcW w:w="1134" w:type="dxa"/>
            <w:tcBorders>
              <w:right w:val="single" w:sz="4" w:space="0" w:color="auto"/>
            </w:tcBorders>
          </w:tcPr>
          <w:p w:rsidR="00C903A7" w:rsidRPr="00C903A7" w:rsidRDefault="00C903A7" w:rsidP="00992AEA">
            <w:pPr>
              <w:rPr>
                <w:rFonts w:cs="Arial"/>
              </w:rPr>
            </w:pPr>
            <w:r w:rsidRPr="00C903A7">
              <w:rPr>
                <w:rFonts w:cs="Arial"/>
              </w:rPr>
              <w:t>SG</w:t>
            </w:r>
          </w:p>
        </w:tc>
        <w:tc>
          <w:tcPr>
            <w:tcW w:w="3789" w:type="dxa"/>
            <w:tcBorders>
              <w:left w:val="single" w:sz="4" w:space="0" w:color="auto"/>
            </w:tcBorders>
          </w:tcPr>
          <w:p w:rsidR="00C903A7" w:rsidRPr="00C903A7" w:rsidRDefault="00C903A7" w:rsidP="00992AEA">
            <w:pPr>
              <w:rPr>
                <w:rFonts w:cs="Arial"/>
              </w:rPr>
            </w:pPr>
          </w:p>
        </w:tc>
      </w:tr>
      <w:tr w:rsidR="00C903A7" w:rsidRPr="00C903A7" w:rsidTr="00E93F21">
        <w:tc>
          <w:tcPr>
            <w:tcW w:w="2410" w:type="dxa"/>
          </w:tcPr>
          <w:p w:rsidR="00C903A7" w:rsidRPr="00C903A7" w:rsidRDefault="00C903A7" w:rsidP="00992AEA">
            <w:pPr>
              <w:rPr>
                <w:rFonts w:cs="Arial"/>
              </w:rPr>
            </w:pPr>
            <w:r w:rsidRPr="00C903A7">
              <w:rPr>
                <w:rFonts w:cs="Arial"/>
              </w:rPr>
              <w:t>David Wilks</w:t>
            </w:r>
          </w:p>
        </w:tc>
        <w:tc>
          <w:tcPr>
            <w:tcW w:w="982" w:type="dxa"/>
          </w:tcPr>
          <w:p w:rsidR="00C903A7" w:rsidRPr="00C903A7" w:rsidRDefault="00C903A7" w:rsidP="00992AEA">
            <w:pPr>
              <w:rPr>
                <w:rFonts w:cs="Arial"/>
              </w:rPr>
            </w:pPr>
            <w:r w:rsidRPr="00C903A7">
              <w:rPr>
                <w:rFonts w:cs="Arial"/>
              </w:rPr>
              <w:t>Net</w:t>
            </w:r>
          </w:p>
        </w:tc>
        <w:tc>
          <w:tcPr>
            <w:tcW w:w="1134" w:type="dxa"/>
            <w:tcBorders>
              <w:right w:val="single" w:sz="4" w:space="0" w:color="auto"/>
            </w:tcBorders>
          </w:tcPr>
          <w:p w:rsidR="00C903A7" w:rsidRPr="00C903A7" w:rsidRDefault="00C903A7" w:rsidP="00992AEA">
            <w:pPr>
              <w:rPr>
                <w:rFonts w:cs="Arial"/>
              </w:rPr>
            </w:pPr>
            <w:r w:rsidRPr="00C903A7">
              <w:rPr>
                <w:rFonts w:cs="Arial"/>
              </w:rPr>
              <w:t>SG</w:t>
            </w:r>
          </w:p>
        </w:tc>
        <w:tc>
          <w:tcPr>
            <w:tcW w:w="3789" w:type="dxa"/>
            <w:tcBorders>
              <w:left w:val="single" w:sz="4" w:space="0" w:color="auto"/>
            </w:tcBorders>
          </w:tcPr>
          <w:p w:rsidR="00C903A7" w:rsidRPr="00C903A7" w:rsidRDefault="00C903A7" w:rsidP="00992AEA">
            <w:pPr>
              <w:rPr>
                <w:rFonts w:cs="Arial"/>
              </w:rPr>
            </w:pPr>
          </w:p>
        </w:tc>
      </w:tr>
      <w:tr w:rsidR="00C903A7" w:rsidRPr="00C903A7" w:rsidTr="00E93F21">
        <w:tc>
          <w:tcPr>
            <w:tcW w:w="2410" w:type="dxa"/>
          </w:tcPr>
          <w:p w:rsidR="00C903A7" w:rsidRPr="00C903A7" w:rsidRDefault="00C903A7" w:rsidP="00992AEA">
            <w:pPr>
              <w:rPr>
                <w:rFonts w:cs="Arial"/>
              </w:rPr>
            </w:pPr>
            <w:r w:rsidRPr="00C903A7">
              <w:rPr>
                <w:rFonts w:cs="Arial"/>
              </w:rPr>
              <w:t>Gary Lloyd</w:t>
            </w:r>
          </w:p>
        </w:tc>
        <w:tc>
          <w:tcPr>
            <w:tcW w:w="982" w:type="dxa"/>
          </w:tcPr>
          <w:p w:rsidR="00C903A7" w:rsidRPr="00C903A7" w:rsidRDefault="00C903A7" w:rsidP="00992AEA">
            <w:pPr>
              <w:rPr>
                <w:rFonts w:cs="Arial"/>
              </w:rPr>
            </w:pPr>
            <w:r w:rsidRPr="00C903A7">
              <w:rPr>
                <w:rFonts w:cs="Arial"/>
              </w:rPr>
              <w:t>Line</w:t>
            </w:r>
          </w:p>
        </w:tc>
        <w:tc>
          <w:tcPr>
            <w:tcW w:w="1134" w:type="dxa"/>
            <w:tcBorders>
              <w:right w:val="single" w:sz="4" w:space="0" w:color="auto"/>
            </w:tcBorders>
          </w:tcPr>
          <w:p w:rsidR="00C903A7" w:rsidRPr="00C903A7" w:rsidRDefault="00C903A7" w:rsidP="00992AEA">
            <w:pPr>
              <w:rPr>
                <w:rFonts w:cs="Arial"/>
              </w:rPr>
            </w:pPr>
            <w:r w:rsidRPr="00C903A7">
              <w:rPr>
                <w:rFonts w:cs="Arial"/>
              </w:rPr>
              <w:t>GSV/KI</w:t>
            </w:r>
          </w:p>
        </w:tc>
        <w:tc>
          <w:tcPr>
            <w:tcW w:w="3789" w:type="dxa"/>
            <w:tcBorders>
              <w:left w:val="single" w:sz="4" w:space="0" w:color="auto"/>
            </w:tcBorders>
          </w:tcPr>
          <w:p w:rsidR="00C903A7" w:rsidRPr="00C903A7" w:rsidRDefault="00C903A7" w:rsidP="00992AEA">
            <w:pPr>
              <w:rPr>
                <w:rFonts w:cs="Arial"/>
              </w:rPr>
            </w:pPr>
          </w:p>
        </w:tc>
      </w:tr>
      <w:tr w:rsidR="00C903A7" w:rsidRPr="00C903A7" w:rsidTr="00E93F21">
        <w:tc>
          <w:tcPr>
            <w:tcW w:w="2410" w:type="dxa"/>
          </w:tcPr>
          <w:p w:rsidR="00C903A7" w:rsidRPr="00C903A7" w:rsidRDefault="00C903A7" w:rsidP="00992AEA">
            <w:pPr>
              <w:rPr>
                <w:rFonts w:cs="Arial"/>
              </w:rPr>
            </w:pPr>
            <w:r w:rsidRPr="00C903A7">
              <w:rPr>
                <w:rFonts w:cs="Arial"/>
              </w:rPr>
              <w:t>Laurence Condo</w:t>
            </w:r>
          </w:p>
        </w:tc>
        <w:tc>
          <w:tcPr>
            <w:tcW w:w="982" w:type="dxa"/>
          </w:tcPr>
          <w:p w:rsidR="00C903A7" w:rsidRPr="00C903A7" w:rsidRDefault="00C903A7" w:rsidP="00992AEA">
            <w:pPr>
              <w:rPr>
                <w:rFonts w:cs="Arial"/>
              </w:rPr>
            </w:pPr>
            <w:r w:rsidRPr="00C903A7">
              <w:rPr>
                <w:rFonts w:cs="Arial"/>
              </w:rPr>
              <w:t>Line</w:t>
            </w:r>
          </w:p>
        </w:tc>
        <w:tc>
          <w:tcPr>
            <w:tcW w:w="1134" w:type="dxa"/>
            <w:tcBorders>
              <w:right w:val="single" w:sz="4" w:space="0" w:color="auto"/>
            </w:tcBorders>
          </w:tcPr>
          <w:p w:rsidR="00C903A7" w:rsidRPr="00C903A7" w:rsidRDefault="00C903A7" w:rsidP="00992AEA">
            <w:pPr>
              <w:rPr>
                <w:rFonts w:cs="Arial"/>
              </w:rPr>
            </w:pPr>
            <w:r w:rsidRPr="00C903A7">
              <w:rPr>
                <w:rFonts w:cs="Arial"/>
              </w:rPr>
              <w:t>GSV/SE</w:t>
            </w:r>
          </w:p>
        </w:tc>
        <w:tc>
          <w:tcPr>
            <w:tcW w:w="3789" w:type="dxa"/>
            <w:tcBorders>
              <w:left w:val="single" w:sz="4" w:space="0" w:color="auto"/>
            </w:tcBorders>
          </w:tcPr>
          <w:p w:rsidR="00C903A7" w:rsidRPr="00C903A7" w:rsidRDefault="00C903A7" w:rsidP="00992AEA">
            <w:pPr>
              <w:rPr>
                <w:rFonts w:cs="Arial"/>
                <w:b/>
              </w:rPr>
            </w:pPr>
          </w:p>
        </w:tc>
      </w:tr>
      <w:tr w:rsidR="00C903A7" w:rsidRPr="00C903A7" w:rsidTr="00E93F21">
        <w:tc>
          <w:tcPr>
            <w:tcW w:w="2410" w:type="dxa"/>
          </w:tcPr>
          <w:p w:rsidR="00C903A7" w:rsidRPr="00C903A7" w:rsidRDefault="00C903A7" w:rsidP="00992AEA">
            <w:pPr>
              <w:rPr>
                <w:rFonts w:cs="Arial"/>
              </w:rPr>
            </w:pPr>
            <w:r w:rsidRPr="00C903A7">
              <w:rPr>
                <w:rFonts w:cs="Arial"/>
              </w:rPr>
              <w:t>Bart Butson</w:t>
            </w:r>
          </w:p>
        </w:tc>
        <w:tc>
          <w:tcPr>
            <w:tcW w:w="982" w:type="dxa"/>
          </w:tcPr>
          <w:p w:rsidR="00C903A7" w:rsidRPr="00C903A7" w:rsidRDefault="00C903A7" w:rsidP="00992AEA">
            <w:pPr>
              <w:rPr>
                <w:rFonts w:cs="Arial"/>
              </w:rPr>
            </w:pPr>
            <w:r w:rsidRPr="00C903A7">
              <w:rPr>
                <w:rFonts w:cs="Arial"/>
              </w:rPr>
              <w:t>Net</w:t>
            </w:r>
          </w:p>
        </w:tc>
        <w:tc>
          <w:tcPr>
            <w:tcW w:w="1134" w:type="dxa"/>
            <w:tcBorders>
              <w:right w:val="single" w:sz="4" w:space="0" w:color="auto"/>
            </w:tcBorders>
          </w:tcPr>
          <w:p w:rsidR="00C903A7" w:rsidRPr="00C903A7" w:rsidRDefault="00C903A7" w:rsidP="00992AEA">
            <w:pPr>
              <w:rPr>
                <w:rFonts w:cs="Arial"/>
              </w:rPr>
            </w:pPr>
            <w:r w:rsidRPr="00C903A7">
              <w:rPr>
                <w:rFonts w:cs="Arial"/>
              </w:rPr>
              <w:t>GSV</w:t>
            </w:r>
          </w:p>
        </w:tc>
        <w:tc>
          <w:tcPr>
            <w:tcW w:w="3789" w:type="dxa"/>
            <w:tcBorders>
              <w:left w:val="single" w:sz="4" w:space="0" w:color="auto"/>
            </w:tcBorders>
          </w:tcPr>
          <w:p w:rsidR="00C903A7" w:rsidRPr="00C903A7" w:rsidRDefault="00C903A7" w:rsidP="00992AEA">
            <w:pPr>
              <w:rPr>
                <w:rFonts w:cs="Arial"/>
                <w:b/>
              </w:rPr>
            </w:pPr>
          </w:p>
        </w:tc>
      </w:tr>
      <w:tr w:rsidR="00C903A7" w:rsidRPr="00C903A7" w:rsidTr="00E93F21">
        <w:tc>
          <w:tcPr>
            <w:tcW w:w="2410" w:type="dxa"/>
          </w:tcPr>
          <w:p w:rsidR="00C903A7" w:rsidRPr="00C903A7" w:rsidRDefault="00C903A7" w:rsidP="00992AEA">
            <w:pPr>
              <w:rPr>
                <w:rFonts w:cs="Arial"/>
              </w:rPr>
            </w:pPr>
            <w:r w:rsidRPr="00C903A7">
              <w:rPr>
                <w:rFonts w:cs="Arial"/>
              </w:rPr>
              <w:t>Hugh Bayly</w:t>
            </w:r>
          </w:p>
        </w:tc>
        <w:tc>
          <w:tcPr>
            <w:tcW w:w="982" w:type="dxa"/>
          </w:tcPr>
          <w:p w:rsidR="00C903A7" w:rsidRPr="00C903A7" w:rsidRDefault="00C903A7" w:rsidP="00992AEA">
            <w:pPr>
              <w:rPr>
                <w:rFonts w:cs="Arial"/>
              </w:rPr>
            </w:pPr>
            <w:r w:rsidRPr="00C903A7">
              <w:rPr>
                <w:rFonts w:cs="Arial"/>
              </w:rPr>
              <w:t>Line</w:t>
            </w:r>
          </w:p>
        </w:tc>
        <w:tc>
          <w:tcPr>
            <w:tcW w:w="1134" w:type="dxa"/>
            <w:tcBorders>
              <w:right w:val="single" w:sz="4" w:space="0" w:color="auto"/>
            </w:tcBorders>
          </w:tcPr>
          <w:p w:rsidR="00C903A7" w:rsidRPr="00C903A7" w:rsidRDefault="00C903A7" w:rsidP="00992AEA">
            <w:pPr>
              <w:rPr>
                <w:rFonts w:cs="Arial"/>
              </w:rPr>
            </w:pPr>
            <w:r w:rsidRPr="00C903A7">
              <w:rPr>
                <w:rFonts w:cs="Arial"/>
              </w:rPr>
              <w:t>WC</w:t>
            </w:r>
          </w:p>
        </w:tc>
        <w:tc>
          <w:tcPr>
            <w:tcW w:w="3789" w:type="dxa"/>
            <w:tcBorders>
              <w:left w:val="single" w:sz="4" w:space="0" w:color="auto"/>
            </w:tcBorders>
          </w:tcPr>
          <w:p w:rsidR="00C903A7" w:rsidRPr="00C903A7" w:rsidRDefault="00C903A7" w:rsidP="00992AEA">
            <w:pPr>
              <w:rPr>
                <w:rFonts w:cs="Arial"/>
                <w:b/>
              </w:rPr>
            </w:pPr>
          </w:p>
        </w:tc>
      </w:tr>
      <w:tr w:rsidR="00C903A7" w:rsidRPr="00C903A7" w:rsidTr="00E93F21">
        <w:tc>
          <w:tcPr>
            <w:tcW w:w="2410" w:type="dxa"/>
          </w:tcPr>
          <w:p w:rsidR="00C903A7" w:rsidRPr="00C903A7" w:rsidRDefault="00C903A7" w:rsidP="00992AEA">
            <w:pPr>
              <w:rPr>
                <w:rFonts w:cs="Arial"/>
              </w:rPr>
            </w:pPr>
            <w:r w:rsidRPr="00C903A7">
              <w:rPr>
                <w:rFonts w:cs="Arial"/>
              </w:rPr>
              <w:t>Noel Box</w:t>
            </w:r>
          </w:p>
        </w:tc>
        <w:tc>
          <w:tcPr>
            <w:tcW w:w="982" w:type="dxa"/>
          </w:tcPr>
          <w:p w:rsidR="00C903A7" w:rsidRPr="00C903A7" w:rsidRDefault="00C903A7" w:rsidP="00992AEA">
            <w:pPr>
              <w:rPr>
                <w:rFonts w:cs="Arial"/>
              </w:rPr>
            </w:pPr>
            <w:r w:rsidRPr="00C903A7">
              <w:rPr>
                <w:rFonts w:cs="Arial"/>
              </w:rPr>
              <w:t>Line</w:t>
            </w:r>
          </w:p>
        </w:tc>
        <w:tc>
          <w:tcPr>
            <w:tcW w:w="1134" w:type="dxa"/>
            <w:tcBorders>
              <w:right w:val="single" w:sz="4" w:space="0" w:color="auto"/>
            </w:tcBorders>
          </w:tcPr>
          <w:p w:rsidR="00C903A7" w:rsidRPr="00C903A7" w:rsidRDefault="00C903A7" w:rsidP="00992AEA">
            <w:pPr>
              <w:rPr>
                <w:rFonts w:cs="Arial"/>
              </w:rPr>
            </w:pPr>
            <w:r w:rsidRPr="00C903A7">
              <w:rPr>
                <w:rFonts w:cs="Arial"/>
              </w:rPr>
              <w:t>WC</w:t>
            </w:r>
          </w:p>
        </w:tc>
        <w:tc>
          <w:tcPr>
            <w:tcW w:w="3789" w:type="dxa"/>
            <w:tcBorders>
              <w:left w:val="single" w:sz="4" w:space="0" w:color="auto"/>
            </w:tcBorders>
          </w:tcPr>
          <w:p w:rsidR="00C903A7" w:rsidRPr="00C903A7" w:rsidRDefault="00C903A7" w:rsidP="00992AEA">
            <w:pPr>
              <w:rPr>
                <w:rFonts w:cs="Arial"/>
                <w:b/>
              </w:rPr>
            </w:pPr>
          </w:p>
        </w:tc>
      </w:tr>
      <w:tr w:rsidR="00C903A7" w:rsidRPr="00C903A7" w:rsidTr="00E93F21">
        <w:tc>
          <w:tcPr>
            <w:tcW w:w="2410" w:type="dxa"/>
          </w:tcPr>
          <w:p w:rsidR="00C903A7" w:rsidRPr="00C903A7" w:rsidRDefault="00C903A7" w:rsidP="00992AEA">
            <w:pPr>
              <w:rPr>
                <w:rFonts w:cs="Arial"/>
              </w:rPr>
            </w:pPr>
            <w:r w:rsidRPr="00C903A7">
              <w:rPr>
                <w:rFonts w:cs="Arial"/>
              </w:rPr>
              <w:t>Noel Hayes</w:t>
            </w:r>
          </w:p>
        </w:tc>
        <w:tc>
          <w:tcPr>
            <w:tcW w:w="982" w:type="dxa"/>
          </w:tcPr>
          <w:p w:rsidR="00C903A7" w:rsidRPr="00C903A7" w:rsidRDefault="00C903A7" w:rsidP="00992AEA">
            <w:pPr>
              <w:rPr>
                <w:rFonts w:cs="Arial"/>
              </w:rPr>
            </w:pPr>
            <w:r w:rsidRPr="00C903A7">
              <w:rPr>
                <w:rFonts w:cs="Arial"/>
              </w:rPr>
              <w:t>Line</w:t>
            </w:r>
          </w:p>
        </w:tc>
        <w:tc>
          <w:tcPr>
            <w:tcW w:w="1134" w:type="dxa"/>
            <w:tcBorders>
              <w:right w:val="single" w:sz="4" w:space="0" w:color="auto"/>
            </w:tcBorders>
          </w:tcPr>
          <w:p w:rsidR="00C903A7" w:rsidRPr="00C903A7" w:rsidRDefault="00C903A7" w:rsidP="00992AEA">
            <w:pPr>
              <w:rPr>
                <w:rFonts w:cs="Arial"/>
                <w:b/>
              </w:rPr>
            </w:pPr>
            <w:r w:rsidRPr="00C903A7">
              <w:rPr>
                <w:rFonts w:cs="Arial"/>
              </w:rPr>
              <w:t>SE</w:t>
            </w:r>
          </w:p>
        </w:tc>
        <w:tc>
          <w:tcPr>
            <w:tcW w:w="3789" w:type="dxa"/>
            <w:tcBorders>
              <w:left w:val="single" w:sz="4" w:space="0" w:color="auto"/>
            </w:tcBorders>
          </w:tcPr>
          <w:p w:rsidR="00C903A7" w:rsidRPr="00C903A7" w:rsidRDefault="00C903A7" w:rsidP="00992AEA">
            <w:pPr>
              <w:rPr>
                <w:rFonts w:cs="Arial"/>
                <w:b/>
              </w:rPr>
            </w:pPr>
          </w:p>
        </w:tc>
      </w:tr>
    </w:tbl>
    <w:p w:rsidR="00C903A7" w:rsidRDefault="00C903A7" w:rsidP="00992AEA">
      <w:pPr>
        <w:rPr>
          <w:rFonts w:cs="Arial"/>
        </w:rPr>
      </w:pPr>
    </w:p>
    <w:p w:rsidR="00C903A7" w:rsidRDefault="00D9238F" w:rsidP="00992AEA">
      <w:r>
        <w:rPr>
          <w:rFonts w:cs="Arial"/>
        </w:rPr>
        <w:t xml:space="preserve">The first meeting of the </w:t>
      </w:r>
      <w:r>
        <w:t xml:space="preserve">Red Tape Reduction Working Group is </w:t>
      </w:r>
      <w:r w:rsidRPr="005835BE">
        <w:t xml:space="preserve">scheduled </w:t>
      </w:r>
      <w:r w:rsidR="005835BE" w:rsidRPr="005835BE">
        <w:t xml:space="preserve">to occur in </w:t>
      </w:r>
      <w:r w:rsidRPr="005835BE">
        <w:t>August 2020.</w:t>
      </w:r>
      <w:r w:rsidR="006C747B">
        <w:t xml:space="preserve"> </w:t>
      </w:r>
    </w:p>
    <w:p w:rsidR="00732399" w:rsidRPr="00732399" w:rsidRDefault="00732399" w:rsidP="00C70060">
      <w:pPr>
        <w:pStyle w:val="Heading1"/>
      </w:pPr>
      <w:bookmarkStart w:id="27" w:name="_Toc47284559"/>
      <w:bookmarkStart w:id="28" w:name="_Toc48141145"/>
      <w:r w:rsidRPr="00732399">
        <w:t>Other key questions regarding management of the reformed MSF</w:t>
      </w:r>
      <w:bookmarkEnd w:id="27"/>
      <w:bookmarkEnd w:id="28"/>
      <w:r w:rsidRPr="00732399">
        <w:t xml:space="preserve"> </w:t>
      </w:r>
    </w:p>
    <w:p w:rsidR="003B010C" w:rsidRPr="002B6905" w:rsidRDefault="003B010C" w:rsidP="00992AEA">
      <w:pPr>
        <w:rPr>
          <w:i/>
        </w:rPr>
      </w:pPr>
      <w:r>
        <w:t>In developing</w:t>
      </w:r>
      <w:r w:rsidRPr="0009765E">
        <w:t xml:space="preserve"> </w:t>
      </w:r>
      <w:r>
        <w:t xml:space="preserve">the management framework for the reformed MSF, the State Government is mindful of the need to balance the fishery’s social values and assets with its future economic profitability, while ensuring it is managed in an ecologically sustainable way. This is consistent with the objects of the </w:t>
      </w:r>
      <w:r>
        <w:rPr>
          <w:i/>
        </w:rPr>
        <w:t>Fisheries Management Act 2007</w:t>
      </w:r>
      <w:r>
        <w:t xml:space="preserve"> and the goals and objectives of the </w:t>
      </w:r>
      <w:hyperlink r:id="rId18" w:history="1">
        <w:r w:rsidR="004B5FC5" w:rsidRPr="00992AEA">
          <w:rPr>
            <w:rStyle w:val="Hyperlink"/>
            <w:i/>
          </w:rPr>
          <w:t>Management Plan for the</w:t>
        </w:r>
        <w:r w:rsidR="004B5FC5" w:rsidRPr="00236B09">
          <w:rPr>
            <w:rStyle w:val="Hyperlink"/>
          </w:rPr>
          <w:t xml:space="preserve"> </w:t>
        </w:r>
        <w:r w:rsidR="004B5FC5" w:rsidRPr="00236B09">
          <w:rPr>
            <w:rStyle w:val="Hyperlink"/>
            <w:i/>
          </w:rPr>
          <w:t xml:space="preserve">South Australian Commercial Marine </w:t>
        </w:r>
        <w:proofErr w:type="spellStart"/>
        <w:r w:rsidR="004B5FC5" w:rsidRPr="00236B09">
          <w:rPr>
            <w:rStyle w:val="Hyperlink"/>
            <w:i/>
          </w:rPr>
          <w:t>Scalefish</w:t>
        </w:r>
        <w:proofErr w:type="spellEnd"/>
        <w:r w:rsidR="004B5FC5" w:rsidRPr="00236B09">
          <w:rPr>
            <w:rStyle w:val="Hyperlink"/>
            <w:i/>
          </w:rPr>
          <w:t xml:space="preserve"> Fishery</w:t>
        </w:r>
      </w:hyperlink>
      <w:r w:rsidR="004B5FC5">
        <w:t>.</w:t>
      </w:r>
    </w:p>
    <w:p w:rsidR="000453C9" w:rsidRDefault="000453C9" w:rsidP="00976BB0">
      <w:pPr>
        <w:pStyle w:val="Heading2"/>
      </w:pPr>
      <w:bookmarkStart w:id="29" w:name="_Toc47284560"/>
      <w:bookmarkStart w:id="30" w:name="_Toc48141146"/>
      <w:r>
        <w:t>‘Owner operator’ arrangements</w:t>
      </w:r>
      <w:bookmarkEnd w:id="29"/>
      <w:bookmarkEnd w:id="30"/>
    </w:p>
    <w:p w:rsidR="00C70060" w:rsidRDefault="00C70060" w:rsidP="00C70060">
      <w:r>
        <w:t xml:space="preserve">The ‘owner operator’ requirement is an input control </w:t>
      </w:r>
      <w:r w:rsidR="0048526C">
        <w:t xml:space="preserve">which </w:t>
      </w:r>
      <w:r w:rsidRPr="007D4194">
        <w:t>restrict</w:t>
      </w:r>
      <w:r>
        <w:t>s</w:t>
      </w:r>
      <w:r w:rsidRPr="007D4194">
        <w:t xml:space="preserve"> </w:t>
      </w:r>
      <w:r>
        <w:t xml:space="preserve">fishing </w:t>
      </w:r>
      <w:r w:rsidRPr="007D4194">
        <w:t xml:space="preserve">effort </w:t>
      </w:r>
      <w:r>
        <w:t>directed into the fishery.</w:t>
      </w:r>
    </w:p>
    <w:p w:rsidR="00C70060" w:rsidRDefault="00C70060" w:rsidP="00C70060"/>
    <w:p w:rsidR="000453C9" w:rsidRPr="006B61EC" w:rsidRDefault="000453C9" w:rsidP="00C70060">
      <w:r w:rsidRPr="006B61EC">
        <w:t xml:space="preserve">The MSF is regarded as an </w:t>
      </w:r>
      <w:r>
        <w:t>‘</w:t>
      </w:r>
      <w:r w:rsidRPr="006B61EC">
        <w:t>owner operator</w:t>
      </w:r>
      <w:r>
        <w:t>’</w:t>
      </w:r>
      <w:r w:rsidRPr="006B61EC">
        <w:t xml:space="preserve"> fishery and as such the use of a registered master to operate the lice</w:t>
      </w:r>
      <w:r>
        <w:t>nce</w:t>
      </w:r>
      <w:r w:rsidRPr="006B61EC">
        <w:t xml:space="preserve"> in addition to the licence holder</w:t>
      </w:r>
      <w:r>
        <w:t xml:space="preserve"> is not permitted; h</w:t>
      </w:r>
      <w:r w:rsidRPr="006B61EC">
        <w:t>owever</w:t>
      </w:r>
      <w:r>
        <w:t>,</w:t>
      </w:r>
      <w:r w:rsidRPr="006B61EC">
        <w:t xml:space="preserve"> there are some exceptions to this rule</w:t>
      </w:r>
      <w:r>
        <w:t xml:space="preserve">. </w:t>
      </w:r>
      <w:r w:rsidRPr="00EC4679">
        <w:t xml:space="preserve">For example, the </w:t>
      </w:r>
      <w:r w:rsidRPr="002770A9">
        <w:rPr>
          <w:i/>
        </w:rPr>
        <w:t xml:space="preserve">Fisheries Management (Marine </w:t>
      </w:r>
      <w:proofErr w:type="spellStart"/>
      <w:r w:rsidRPr="002770A9">
        <w:rPr>
          <w:i/>
        </w:rPr>
        <w:t>Scalefish</w:t>
      </w:r>
      <w:proofErr w:type="spellEnd"/>
      <w:r w:rsidRPr="002770A9">
        <w:rPr>
          <w:i/>
        </w:rPr>
        <w:t xml:space="preserve"> Fishery) Regulations </w:t>
      </w:r>
      <w:r w:rsidR="00AC4A5D">
        <w:rPr>
          <w:i/>
        </w:rPr>
        <w:t>2017</w:t>
      </w:r>
      <w:r w:rsidRPr="00EC4679">
        <w:t xml:space="preserve"> provide for the following circumstances where it is permitted for a master other than the licenc</w:t>
      </w:r>
      <w:r>
        <w:t>e holder to operate the licence</w:t>
      </w:r>
      <w:r w:rsidRPr="006B61EC">
        <w:t xml:space="preserve">: </w:t>
      </w:r>
    </w:p>
    <w:p w:rsidR="000453C9" w:rsidRDefault="000453C9" w:rsidP="00C70060">
      <w:pPr>
        <w:pStyle w:val="ListParagraph"/>
        <w:numPr>
          <w:ilvl w:val="0"/>
          <w:numId w:val="25"/>
        </w:numPr>
        <w:ind w:left="567"/>
      </w:pPr>
      <w:r w:rsidRPr="006B61EC">
        <w:t xml:space="preserve">The licence holder </w:t>
      </w:r>
      <w:r>
        <w:t>holds</w:t>
      </w:r>
      <w:r w:rsidRPr="006B61EC">
        <w:t xml:space="preserve"> another MSF licence and is registered as the master of that licence</w:t>
      </w:r>
      <w:r>
        <w:t>, or</w:t>
      </w:r>
    </w:p>
    <w:p w:rsidR="000453C9" w:rsidRPr="006B61EC" w:rsidRDefault="000453C9" w:rsidP="00C70060">
      <w:pPr>
        <w:pStyle w:val="ListParagraph"/>
        <w:numPr>
          <w:ilvl w:val="0"/>
          <w:numId w:val="25"/>
        </w:numPr>
        <w:ind w:left="567"/>
      </w:pPr>
      <w:r>
        <w:lastRenderedPageBreak/>
        <w:t xml:space="preserve">The licence has a pipi or </w:t>
      </w:r>
      <w:proofErr w:type="spellStart"/>
      <w:r>
        <w:t>vongole</w:t>
      </w:r>
      <w:proofErr w:type="spellEnd"/>
      <w:r>
        <w:t xml:space="preserve"> quota entitlement and the registered master is taking pipi or </w:t>
      </w:r>
      <w:proofErr w:type="spellStart"/>
      <w:r>
        <w:t>vongole</w:t>
      </w:r>
      <w:proofErr w:type="spellEnd"/>
      <w:r>
        <w:t>, respectively, or</w:t>
      </w:r>
    </w:p>
    <w:p w:rsidR="000453C9" w:rsidRDefault="000453C9" w:rsidP="00C70060">
      <w:pPr>
        <w:pStyle w:val="ListParagraph"/>
        <w:numPr>
          <w:ilvl w:val="0"/>
          <w:numId w:val="25"/>
        </w:numPr>
        <w:ind w:left="567"/>
      </w:pPr>
      <w:r w:rsidRPr="006B61EC">
        <w:t xml:space="preserve">The licence </w:t>
      </w:r>
      <w:r>
        <w:t>has a gear entitlement</w:t>
      </w:r>
      <w:r w:rsidRPr="006B61EC">
        <w:t xml:space="preserve"> (ocean </w:t>
      </w:r>
      <w:r>
        <w:t xml:space="preserve">jacket trap, sand crab pot or </w:t>
      </w:r>
      <w:r w:rsidRPr="006B61EC">
        <w:t xml:space="preserve">sardine net), </w:t>
      </w:r>
      <w:r>
        <w:t>and the</w:t>
      </w:r>
      <w:r w:rsidRPr="006B61EC">
        <w:t xml:space="preserve"> registered master </w:t>
      </w:r>
      <w:r>
        <w:t>is fishing using those</w:t>
      </w:r>
      <w:r w:rsidRPr="006B61EC">
        <w:t xml:space="preserve"> </w:t>
      </w:r>
      <w:r>
        <w:t>devices.</w:t>
      </w:r>
    </w:p>
    <w:p w:rsidR="000453C9" w:rsidRDefault="000453C9" w:rsidP="00C70060"/>
    <w:p w:rsidR="000453C9" w:rsidRDefault="000453C9" w:rsidP="00C70060">
      <w:r w:rsidRPr="00084094">
        <w:t xml:space="preserve">In addition, </w:t>
      </w:r>
      <w:r>
        <w:t xml:space="preserve">section 53 of </w:t>
      </w:r>
      <w:r w:rsidRPr="00084094">
        <w:t xml:space="preserve">the </w:t>
      </w:r>
      <w:r w:rsidRPr="002770A9">
        <w:rPr>
          <w:i/>
        </w:rPr>
        <w:t>Fisheries Management Act 2007</w:t>
      </w:r>
      <w:r w:rsidRPr="00084094">
        <w:t xml:space="preserve"> gives the Minister the power to consent </w:t>
      </w:r>
      <w:r>
        <w:t>for</w:t>
      </w:r>
      <w:r w:rsidRPr="00084094">
        <w:t xml:space="preserve"> a natural person </w:t>
      </w:r>
      <w:r>
        <w:t>to</w:t>
      </w:r>
      <w:r w:rsidRPr="00084094">
        <w:t xml:space="preserve"> act in the place of a registered master under </w:t>
      </w:r>
      <w:r>
        <w:t xml:space="preserve">a MSF </w:t>
      </w:r>
      <w:r w:rsidRPr="00084094">
        <w:t xml:space="preserve">licence. </w:t>
      </w:r>
      <w:r>
        <w:t>G</w:t>
      </w:r>
      <w:r w:rsidRPr="00084094">
        <w:t xml:space="preserve">uidelines </w:t>
      </w:r>
      <w:r>
        <w:t xml:space="preserve">have been </w:t>
      </w:r>
      <w:r w:rsidRPr="00084094">
        <w:t>establish</w:t>
      </w:r>
      <w:r>
        <w:t>ed to support</w:t>
      </w:r>
      <w:r w:rsidRPr="00084094">
        <w:t xml:space="preserve"> the consideration of applications for </w:t>
      </w:r>
      <w:r>
        <w:t>such consent, which consider the circumstances of:</w:t>
      </w:r>
    </w:p>
    <w:p w:rsidR="000453C9" w:rsidRDefault="000453C9" w:rsidP="00C70060">
      <w:pPr>
        <w:pStyle w:val="ListParagraph"/>
        <w:numPr>
          <w:ilvl w:val="0"/>
          <w:numId w:val="26"/>
        </w:numPr>
        <w:ind w:left="567"/>
      </w:pPr>
      <w:r>
        <w:t>Illness and injury (medically unable to operate the licence)</w:t>
      </w:r>
    </w:p>
    <w:p w:rsidR="000453C9" w:rsidRDefault="000453C9" w:rsidP="00C70060">
      <w:pPr>
        <w:pStyle w:val="ListParagraph"/>
        <w:numPr>
          <w:ilvl w:val="0"/>
          <w:numId w:val="26"/>
        </w:numPr>
        <w:ind w:left="567"/>
      </w:pPr>
      <w:r>
        <w:t>Official business and training</w:t>
      </w:r>
    </w:p>
    <w:p w:rsidR="000453C9" w:rsidRDefault="000453C9" w:rsidP="00C70060">
      <w:pPr>
        <w:pStyle w:val="ListParagraph"/>
        <w:numPr>
          <w:ilvl w:val="0"/>
          <w:numId w:val="26"/>
        </w:numPr>
        <w:ind w:left="567"/>
      </w:pPr>
      <w:r>
        <w:t>General replacement master days (i.e. maximum of 28 days in seven day blocks)</w:t>
      </w:r>
    </w:p>
    <w:p w:rsidR="000453C9" w:rsidRDefault="000453C9" w:rsidP="00C70060"/>
    <w:p w:rsidR="000453C9" w:rsidRDefault="000453C9" w:rsidP="00C70060">
      <w:r>
        <w:t>The owner operator arrangements are acknowledged to promote stewardship in the fishery and prevent large scale corporate ownership of licences in favour of a regional, locally owned fishery with family run businesses. In this way, the arrangements create regional social and economic benefits, whereby the wealth generated from the fishery remains in the hands of independent owner</w:t>
      </w:r>
      <w:r w:rsidR="002F0925">
        <w:t>-</w:t>
      </w:r>
      <w:r>
        <w:t>operators who generally live in regional communities.</w:t>
      </w:r>
      <w:r w:rsidRPr="00CB3037">
        <w:t xml:space="preserve"> </w:t>
      </w:r>
      <w:r>
        <w:t>Retaining the</w:t>
      </w:r>
      <w:r w:rsidR="001E12E3">
        <w:t xml:space="preserve">se arrangements is considered to </w:t>
      </w:r>
      <w:r>
        <w:t>better protect the social values of the fishery and social licence to operate, particularly in regional areas, and protect stocks of secondary species, which will not be subject to quota</w:t>
      </w:r>
      <w:r w:rsidR="00E43839">
        <w:t>.</w:t>
      </w:r>
      <w:r>
        <w:t xml:space="preserve"> </w:t>
      </w:r>
    </w:p>
    <w:p w:rsidR="000453C9" w:rsidRDefault="000453C9" w:rsidP="00C70060"/>
    <w:p w:rsidR="000453C9" w:rsidRDefault="000453C9" w:rsidP="00C70060">
      <w:r>
        <w:t>The arrangements</w:t>
      </w:r>
      <w:r w:rsidR="001E12E3">
        <w:t>,</w:t>
      </w:r>
      <w:r>
        <w:t xml:space="preserve"> however</w:t>
      </w:r>
      <w:r w:rsidR="001E12E3">
        <w:t>,</w:t>
      </w:r>
      <w:r>
        <w:t xml:space="preserve"> restrict the flexibility for licence holders to operate their businesses, resulting in a loss of economic opportunity. Removal of this requirement would increase flexibility for individual licence holders and their businesses and open new opportunities for investment in and development of the MSF. </w:t>
      </w:r>
    </w:p>
    <w:p w:rsidR="000453C9" w:rsidRDefault="000453C9" w:rsidP="00C70060"/>
    <w:p w:rsidR="000453C9" w:rsidRDefault="000453C9" w:rsidP="00C70060">
      <w:r>
        <w:t xml:space="preserve">Considering all these issues, and feedback previously received from industry, it is proposed to retain the existing owner operator arrangements in the MSF at this time. </w:t>
      </w:r>
      <w:r w:rsidR="006C747B">
        <w:t>A</w:t>
      </w:r>
      <w:r>
        <w:t xml:space="preserve">rrangements could be reviewed in the future if it </w:t>
      </w:r>
      <w:r w:rsidR="001E12E3">
        <w:t xml:space="preserve">is </w:t>
      </w:r>
      <w:r w:rsidR="006C747B">
        <w:t xml:space="preserve">the will of industry and it is </w:t>
      </w:r>
      <w:r>
        <w:t xml:space="preserve">considered </w:t>
      </w:r>
      <w:r w:rsidR="006C747B">
        <w:t>arrangements need alteration</w:t>
      </w:r>
      <w:r>
        <w:t>.</w:t>
      </w:r>
    </w:p>
    <w:p w:rsidR="000453C9" w:rsidRDefault="000453C9" w:rsidP="00C70060"/>
    <w:p w:rsidR="000453C9" w:rsidRDefault="000453C9" w:rsidP="00C70060">
      <w:pPr>
        <w:rPr>
          <w:b/>
        </w:rPr>
      </w:pPr>
      <w:r>
        <w:rPr>
          <w:b/>
        </w:rPr>
        <w:t xml:space="preserve">Do you have any comments on the </w:t>
      </w:r>
      <w:r w:rsidR="006C747B">
        <w:rPr>
          <w:b/>
        </w:rPr>
        <w:t xml:space="preserve">proposed </w:t>
      </w:r>
      <w:r>
        <w:rPr>
          <w:b/>
        </w:rPr>
        <w:t>owner operator arrangements? Complete the online feedback form.</w:t>
      </w:r>
    </w:p>
    <w:p w:rsidR="00C37E51" w:rsidRDefault="00C37E51" w:rsidP="00976BB0">
      <w:pPr>
        <w:pStyle w:val="Heading2"/>
      </w:pPr>
      <w:bookmarkStart w:id="31" w:name="_Toc47284561"/>
      <w:bookmarkStart w:id="32" w:name="_Toc48141147"/>
      <w:proofErr w:type="spellStart"/>
      <w:r>
        <w:t>Licence</w:t>
      </w:r>
      <w:proofErr w:type="spellEnd"/>
      <w:r>
        <w:t xml:space="preserve"> amalgamation scheme</w:t>
      </w:r>
      <w:bookmarkEnd w:id="31"/>
      <w:bookmarkEnd w:id="32"/>
    </w:p>
    <w:p w:rsidR="00C37E51" w:rsidRDefault="00C37E51" w:rsidP="00C70060">
      <w:r w:rsidRPr="00EA539D">
        <w:t xml:space="preserve">The licence amalgamation scheme was introduced in 1994 </w:t>
      </w:r>
      <w:r>
        <w:t>to reduce</w:t>
      </w:r>
      <w:r w:rsidRPr="00EA539D">
        <w:t xml:space="preserve"> the number o</w:t>
      </w:r>
      <w:r>
        <w:t>f licences</w:t>
      </w:r>
      <w:r w:rsidRPr="00EA539D">
        <w:t xml:space="preserve"> and</w:t>
      </w:r>
      <w:r w:rsidR="002F0925">
        <w:t>,</w:t>
      </w:r>
      <w:r w:rsidRPr="00EA539D">
        <w:t xml:space="preserve"> therefore</w:t>
      </w:r>
      <w:r w:rsidR="002F0925">
        <w:t>,</w:t>
      </w:r>
      <w:r w:rsidRPr="00EA539D">
        <w:t xml:space="preserve"> the maximum amount of fishing effort</w:t>
      </w:r>
      <w:r>
        <w:t xml:space="preserve"> (including latent effort)</w:t>
      </w:r>
      <w:r w:rsidRPr="00EA539D">
        <w:t xml:space="preserve"> </w:t>
      </w:r>
      <w:r>
        <w:t>in</w:t>
      </w:r>
      <w:r w:rsidRPr="00EA539D">
        <w:t xml:space="preserve"> the </w:t>
      </w:r>
      <w:r>
        <w:t>fishery</w:t>
      </w:r>
      <w:r w:rsidRPr="00EA539D">
        <w:t xml:space="preserve">. At </w:t>
      </w:r>
      <w:r>
        <w:t>that</w:t>
      </w:r>
      <w:r w:rsidRPr="00EA539D">
        <w:t xml:space="preserve"> time, all MSF licences were assigned a points value based on the level of historical catch. Restricted MSF licences were incorporated into the scheme in 2004</w:t>
      </w:r>
      <w:r>
        <w:t>; prior to this they</w:t>
      </w:r>
      <w:r w:rsidRPr="00EA539D">
        <w:t xml:space="preserve"> were non-transferable.</w:t>
      </w:r>
    </w:p>
    <w:p w:rsidR="00C37E51" w:rsidRDefault="00C37E51" w:rsidP="00C70060"/>
    <w:p w:rsidR="00C37E51" w:rsidRPr="00EA539D" w:rsidRDefault="00C37E51" w:rsidP="00C70060">
      <w:r w:rsidRPr="00EA539D">
        <w:t xml:space="preserve">The amalgamation scheme requires at least two licences to be joined together, with one of those licences being removed from the fishery as a consequence. Provided the two (or more) licences being amalgamated have an aggregate points value above a pre-determined threshold, the licence will be transferred along with the appropriate gear entitlements from the licence being surrendered. </w:t>
      </w:r>
      <w:r w:rsidRPr="00253A1F">
        <w:t xml:space="preserve">Once a licence has </w:t>
      </w:r>
      <w:r w:rsidRPr="00253A1F">
        <w:lastRenderedPageBreak/>
        <w:t xml:space="preserve">amalgamated it </w:t>
      </w:r>
      <w:r w:rsidRPr="00EA539D">
        <w:t xml:space="preserve">can be freely transferred without having to be amalgamated with another licence, subject to all other conditions and regulations. </w:t>
      </w:r>
    </w:p>
    <w:p w:rsidR="00C37E51" w:rsidRDefault="00C37E51" w:rsidP="00C70060"/>
    <w:p w:rsidR="00C37E51" w:rsidRDefault="00C37E51" w:rsidP="00C70060">
      <w:r w:rsidRPr="00425A4A">
        <w:t>The licence amalgamation scheme has achieved a significant and permanent reduction in the number of licences within the fishery</w:t>
      </w:r>
      <w:r>
        <w:t xml:space="preserve">. In conjunction </w:t>
      </w:r>
      <w:r w:rsidRPr="00EA539D">
        <w:t xml:space="preserve">with the net fishery restructure in 2005, </w:t>
      </w:r>
      <w:r>
        <w:t>approximately 50 per cent</w:t>
      </w:r>
      <w:r w:rsidRPr="00EA539D">
        <w:t xml:space="preserve"> of licences have been permanently removed from the fishery</w:t>
      </w:r>
      <w:r w:rsidRPr="00253A1F">
        <w:t xml:space="preserve"> </w:t>
      </w:r>
      <w:r>
        <w:t xml:space="preserve">during the past 26 years. Of the </w:t>
      </w:r>
      <w:r w:rsidR="00A87ACA">
        <w:t>2</w:t>
      </w:r>
      <w:r w:rsidR="00696A86">
        <w:t>63</w:t>
      </w:r>
      <w:r w:rsidR="00A87ACA">
        <w:t xml:space="preserve"> </w:t>
      </w:r>
      <w:r>
        <w:t>MSF and Restricted MSF licence</w:t>
      </w:r>
      <w:r w:rsidR="00A87ACA">
        <w:t>s</w:t>
      </w:r>
      <w:r w:rsidR="00992AEA">
        <w:t xml:space="preserve"> that remain</w:t>
      </w:r>
      <w:r>
        <w:t xml:space="preserve"> in the fishery </w:t>
      </w:r>
      <w:r w:rsidR="00992AEA">
        <w:t xml:space="preserve">as </w:t>
      </w:r>
      <w:r>
        <w:t xml:space="preserve">at </w:t>
      </w:r>
      <w:r w:rsidR="00A87ACA">
        <w:t xml:space="preserve">21 </w:t>
      </w:r>
      <w:r>
        <w:t>July 2020</w:t>
      </w:r>
      <w:r w:rsidR="00A87ACA">
        <w:t xml:space="preserve"> (taking into account the </w:t>
      </w:r>
      <w:r w:rsidR="00696A86">
        <w:t>44</w:t>
      </w:r>
      <w:r w:rsidR="00A87ACA">
        <w:t xml:space="preserve"> proposals to surrender </w:t>
      </w:r>
      <w:r w:rsidR="006C747B">
        <w:t xml:space="preserve">which have received Ministerial approval </w:t>
      </w:r>
      <w:r w:rsidR="00A87ACA">
        <w:t>to date)</w:t>
      </w:r>
      <w:r>
        <w:t xml:space="preserve">, </w:t>
      </w:r>
      <w:r w:rsidR="003D60C4">
        <w:t>58</w:t>
      </w:r>
      <w:r w:rsidR="00A87ACA">
        <w:t xml:space="preserve"> </w:t>
      </w:r>
      <w:r>
        <w:t xml:space="preserve">line licences and </w:t>
      </w:r>
      <w:r w:rsidR="00A87ACA">
        <w:t>27</w:t>
      </w:r>
      <w:r>
        <w:t xml:space="preserve"> net licences </w:t>
      </w:r>
      <w:r w:rsidR="00A87ACA">
        <w:t xml:space="preserve">remain </w:t>
      </w:r>
      <w:r>
        <w:t>un</w:t>
      </w:r>
      <w:r w:rsidR="00936574">
        <w:t>-</w:t>
      </w:r>
      <w:r>
        <w:t xml:space="preserve">amalgamated. </w:t>
      </w:r>
    </w:p>
    <w:p w:rsidR="00C37E51" w:rsidRDefault="00C37E51" w:rsidP="00C70060"/>
    <w:p w:rsidR="00C37E51" w:rsidRDefault="00C37E51" w:rsidP="00C70060">
      <w:r>
        <w:t xml:space="preserve">A report by BDO </w:t>
      </w:r>
      <w:proofErr w:type="spellStart"/>
      <w:r>
        <w:t>EconSearch</w:t>
      </w:r>
      <w:proofErr w:type="spellEnd"/>
      <w:r>
        <w:t xml:space="preserve"> in October 2019 estimated that 197 MSF licences would need to be removed to achieve a positive net economic return generated by the fishery (under </w:t>
      </w:r>
      <w:r w:rsidR="00C70060">
        <w:t>indicative</w:t>
      </w:r>
      <w:r>
        <w:t xml:space="preserve"> TACCs developed by SARDI</w:t>
      </w:r>
      <w:r w:rsidRPr="002F0925">
        <w:t xml:space="preserve">). </w:t>
      </w:r>
      <w:r w:rsidRPr="000A29A0">
        <w:t>Retaining the licence amalgamation scheme would provide a method for the MSF to continue to autonomously reduce the number of licences in the fishery and improve the economic performance of the fishery over time.</w:t>
      </w:r>
    </w:p>
    <w:p w:rsidR="00C37E51" w:rsidRDefault="00C37E51" w:rsidP="00C70060"/>
    <w:p w:rsidR="00C37E51" w:rsidRDefault="00C37E51" w:rsidP="00C70060">
      <w:r>
        <w:t>The Voluntary Licence Surrender Program aims to</w:t>
      </w:r>
      <w:r w:rsidRPr="00F4400F">
        <w:t xml:space="preserve"> remove up to 150 licences in the </w:t>
      </w:r>
      <w:r>
        <w:t>fishery</w:t>
      </w:r>
      <w:r w:rsidRPr="00F4400F">
        <w:t xml:space="preserve"> through the voluntar</w:t>
      </w:r>
      <w:r>
        <w:t xml:space="preserve">y surrender of fishery licences, as part of the MSF reform initiative. This process, and the introduction of a quota management system for the four key species will reduce the fishery’s dependence on the licence amalgamation scheme as a way to reduce licences and manage fishing effort. In addition the effectiveness of the amalgamation scheme has slowed in recent years and it could be considered to </w:t>
      </w:r>
      <w:r w:rsidR="0042551B">
        <w:t>maintain unnecessary</w:t>
      </w:r>
      <w:r>
        <w:t xml:space="preserve"> red tape for the industry. </w:t>
      </w:r>
    </w:p>
    <w:p w:rsidR="00C37E51" w:rsidRDefault="00C37E51" w:rsidP="00C70060"/>
    <w:p w:rsidR="0048526C" w:rsidRDefault="00C37E51" w:rsidP="00C70060">
      <w:r>
        <w:t xml:space="preserve">Considering the advantages and disadvantages, and the </w:t>
      </w:r>
      <w:r w:rsidRPr="00992AEA">
        <w:t>significant</w:t>
      </w:r>
      <w:r>
        <w:t xml:space="preserve"> numbers of un</w:t>
      </w:r>
      <w:r w:rsidR="00936574">
        <w:t>-</w:t>
      </w:r>
      <w:r>
        <w:t xml:space="preserve">amalgamated line and net licences remaining in the fishery, it is proposed to retain the existing licence amalgamation scheme in order to continue rationalisation of MSF licences over time and improve the fishery’s economic performance. These arrangements could be reviewed in the future if </w:t>
      </w:r>
      <w:r w:rsidR="006C747B">
        <w:t>industry desired</w:t>
      </w:r>
      <w:r w:rsidR="0048526C">
        <w:t>.</w:t>
      </w:r>
      <w:r w:rsidR="006C747B">
        <w:t xml:space="preserve"> </w:t>
      </w:r>
    </w:p>
    <w:p w:rsidR="00C37E51" w:rsidRDefault="00C37E51" w:rsidP="00C70060"/>
    <w:p w:rsidR="00735383" w:rsidRDefault="006C747B" w:rsidP="00C70060">
      <w:pPr>
        <w:rPr>
          <w:b/>
        </w:rPr>
      </w:pPr>
      <w:r>
        <w:rPr>
          <w:b/>
        </w:rPr>
        <w:t>Should the</w:t>
      </w:r>
      <w:r w:rsidR="00C37E51">
        <w:rPr>
          <w:b/>
        </w:rPr>
        <w:t xml:space="preserve"> licence amalgamation scheme</w:t>
      </w:r>
      <w:r>
        <w:rPr>
          <w:b/>
        </w:rPr>
        <w:t xml:space="preserve"> continue</w:t>
      </w:r>
      <w:r w:rsidR="00C37E51">
        <w:rPr>
          <w:b/>
        </w:rPr>
        <w:t xml:space="preserve"> in its current form? Complete the online feedback form.</w:t>
      </w:r>
    </w:p>
    <w:p w:rsidR="00735383" w:rsidRPr="006334A3" w:rsidRDefault="00735383" w:rsidP="00976BB0">
      <w:pPr>
        <w:pStyle w:val="Heading2"/>
      </w:pPr>
      <w:bookmarkStart w:id="33" w:name="_Toc47284562"/>
      <w:bookmarkStart w:id="34" w:name="_Toc48141148"/>
      <w:r w:rsidRPr="006334A3">
        <w:t xml:space="preserve">One-in-five year </w:t>
      </w:r>
      <w:proofErr w:type="spellStart"/>
      <w:r w:rsidRPr="006334A3">
        <w:t>licence</w:t>
      </w:r>
      <w:proofErr w:type="spellEnd"/>
      <w:r w:rsidRPr="006334A3">
        <w:t xml:space="preserve"> transfer rule</w:t>
      </w:r>
      <w:bookmarkEnd w:id="33"/>
      <w:bookmarkEnd w:id="34"/>
    </w:p>
    <w:p w:rsidR="00735383" w:rsidRDefault="00735383" w:rsidP="00C70060">
      <w:r>
        <w:t>Regulations came into effect in January 2018 to prevent the transfer of a MSF licence more than once in any five-year period</w:t>
      </w:r>
      <w:r w:rsidR="00E13903">
        <w:t>, consistent with numerous requests from licence holders and the Marine Fishers Association</w:t>
      </w:r>
      <w:r>
        <w:t xml:space="preserve">. </w:t>
      </w:r>
      <w:r w:rsidR="00E13903">
        <w:t>The regulations specify s</w:t>
      </w:r>
      <w:r>
        <w:t xml:space="preserve">ome exceptions to this rule. These changes aimed to provide a disincentive to the private practice of leasing MSF licences, which was considered to be </w:t>
      </w:r>
      <w:r w:rsidR="00604931">
        <w:t>negatively</w:t>
      </w:r>
      <w:r>
        <w:t xml:space="preserve"> affecting the fishery by encouraging short-term, highly intensive fishing practices that compromise the </w:t>
      </w:r>
      <w:r w:rsidR="00604931">
        <w:t>long-term sustainability of key species in the fishery.</w:t>
      </w:r>
    </w:p>
    <w:p w:rsidR="00411147" w:rsidRDefault="00411147" w:rsidP="00C70060"/>
    <w:p w:rsidR="00411147" w:rsidRPr="00BC0502" w:rsidRDefault="00411147" w:rsidP="00C70060">
      <w:r>
        <w:t>PIRSA has never recognised or encouraged the private practice of short-term leasing of licences and such</w:t>
      </w:r>
      <w:r w:rsidR="00BC0502">
        <w:t xml:space="preserve"> arrangements are beyond the control of the </w:t>
      </w:r>
      <w:r w:rsidR="00BC0502">
        <w:rPr>
          <w:i/>
        </w:rPr>
        <w:t>Fisheries Management Act 2007</w:t>
      </w:r>
      <w:r w:rsidR="00BC0502">
        <w:t xml:space="preserve">. However, these changes aimed to </w:t>
      </w:r>
      <w:r w:rsidR="00E13903">
        <w:t xml:space="preserve">engender greater industry stewardship and </w:t>
      </w:r>
      <w:r w:rsidR="00BC0502">
        <w:t xml:space="preserve">strengthen the </w:t>
      </w:r>
      <w:r w:rsidR="00E13903">
        <w:t xml:space="preserve">longer-term </w:t>
      </w:r>
      <w:r w:rsidR="00BC0502">
        <w:t xml:space="preserve">commitment of licence holders to the </w:t>
      </w:r>
      <w:r w:rsidR="00BC0502">
        <w:lastRenderedPageBreak/>
        <w:t>ongoing sustainability of the MSF and assist in preventing over</w:t>
      </w:r>
      <w:r w:rsidR="00EA67DD">
        <w:t>-</w:t>
      </w:r>
      <w:r w:rsidR="00BC0502">
        <w:t>exploitation of fish stocks.</w:t>
      </w:r>
      <w:r w:rsidR="00E13903">
        <w:t xml:space="preserve">  </w:t>
      </w:r>
    </w:p>
    <w:p w:rsidR="00735383" w:rsidRDefault="00735383" w:rsidP="00C70060"/>
    <w:p w:rsidR="00EA67DD" w:rsidRDefault="00BC0502" w:rsidP="00C70060">
      <w:r>
        <w:t xml:space="preserve">Implementation of quota management arrangements will provide direct output controls as the primary way to sustainably manage </w:t>
      </w:r>
      <w:r w:rsidR="00E13903">
        <w:t>key MSF</w:t>
      </w:r>
      <w:r w:rsidR="00EA67DD">
        <w:t xml:space="preserve"> species</w:t>
      </w:r>
      <w:r>
        <w:t xml:space="preserve">. While </w:t>
      </w:r>
      <w:r w:rsidR="00E13903">
        <w:t>retaining the regulated</w:t>
      </w:r>
      <w:r>
        <w:t xml:space="preserve"> disincentive to the private practice of leasing </w:t>
      </w:r>
      <w:r w:rsidR="00345A88">
        <w:t xml:space="preserve">licences </w:t>
      </w:r>
      <w:r>
        <w:t>may still provide some value to the fishery,</w:t>
      </w:r>
      <w:r w:rsidR="00C4515A">
        <w:t xml:space="preserve"> it could also be viewed as an overly prescriptive</w:t>
      </w:r>
      <w:r>
        <w:t xml:space="preserve"> </w:t>
      </w:r>
      <w:r w:rsidR="00C4515A">
        <w:t>rule in the reformed MSF where there will be fewer licence holders and</w:t>
      </w:r>
      <w:r w:rsidR="00EA67DD">
        <w:t xml:space="preserve"> more direct controls on catch.</w:t>
      </w:r>
      <w:r w:rsidR="00753793">
        <w:t xml:space="preserve"> </w:t>
      </w:r>
    </w:p>
    <w:p w:rsidR="00EA67DD" w:rsidRDefault="00EA67DD" w:rsidP="00C70060"/>
    <w:p w:rsidR="00735383" w:rsidRDefault="00735383" w:rsidP="00C70060">
      <w:r>
        <w:t xml:space="preserve">It is considered the one-in-five year transfer rule is no longer required </w:t>
      </w:r>
      <w:r w:rsidR="00C4515A">
        <w:t xml:space="preserve">to deliver the stewardship and sustainability outcomes it was introduced to address </w:t>
      </w:r>
      <w:r>
        <w:t>and</w:t>
      </w:r>
      <w:r w:rsidR="00345A88">
        <w:t>,</w:t>
      </w:r>
      <w:r>
        <w:t xml:space="preserve"> therefore</w:t>
      </w:r>
      <w:r w:rsidR="00345A88">
        <w:t>,</w:t>
      </w:r>
      <w:r>
        <w:t xml:space="preserve"> it is proposed to be removed from 1 July 2021. </w:t>
      </w:r>
    </w:p>
    <w:p w:rsidR="00696A86" w:rsidRDefault="00696A86" w:rsidP="00696A86"/>
    <w:p w:rsidR="00696A86" w:rsidRDefault="00696A86" w:rsidP="00696A86">
      <w:r>
        <w:t>Note, in other quota managed fisheries in South Australia, both permanent and temporary (short-term) transfers of quota units are generally permitted. In the case of temporary quota transfers, the quota units return to the original licence holder at the commencement of the new quota year. PIRSA considers there is no reason why the temporary transfer of quota units should not be supported in the MSF from 1 July 2021.</w:t>
      </w:r>
    </w:p>
    <w:p w:rsidR="00753793" w:rsidRDefault="00753793" w:rsidP="00C70060"/>
    <w:p w:rsidR="006C747B" w:rsidRPr="005C228F" w:rsidRDefault="006C747B" w:rsidP="006C747B">
      <w:pPr>
        <w:rPr>
          <w:b/>
        </w:rPr>
      </w:pPr>
      <w:r>
        <w:rPr>
          <w:b/>
        </w:rPr>
        <w:t>Do you have any comments on the proposal to remove the one-in-five-year transfer rule from 1 July 2021? Complete the online feedback form.</w:t>
      </w:r>
    </w:p>
    <w:p w:rsidR="0042551B" w:rsidRPr="006334A3" w:rsidRDefault="00BA3AF9" w:rsidP="00976BB0">
      <w:pPr>
        <w:pStyle w:val="Heading2"/>
      </w:pPr>
      <w:bookmarkStart w:id="35" w:name="_Toc47284563"/>
      <w:bookmarkStart w:id="36" w:name="_Toc48141149"/>
      <w:r>
        <w:t xml:space="preserve">Temporary </w:t>
      </w:r>
      <w:proofErr w:type="spellStart"/>
      <w:r>
        <w:t>licence</w:t>
      </w:r>
      <w:proofErr w:type="spellEnd"/>
      <w:r>
        <w:t xml:space="preserve"> transfer freeze</w:t>
      </w:r>
      <w:bookmarkEnd w:id="35"/>
      <w:bookmarkEnd w:id="36"/>
    </w:p>
    <w:p w:rsidR="00735383" w:rsidRDefault="00735383" w:rsidP="00C70060">
      <w:r>
        <w:t xml:space="preserve">Licence holders should note that </w:t>
      </w:r>
      <w:r w:rsidR="00C70060">
        <w:t xml:space="preserve">the Minister will </w:t>
      </w:r>
      <w:r w:rsidR="00C70060" w:rsidRPr="00C70060">
        <w:t>adopt a policy of refusing to consent to application</w:t>
      </w:r>
      <w:r w:rsidR="00C70060">
        <w:t>s to transfer</w:t>
      </w:r>
      <w:r w:rsidR="008E5F97">
        <w:t xml:space="preserve"> MSF</w:t>
      </w:r>
      <w:r w:rsidR="00C70060">
        <w:t xml:space="preserve"> licences under section 57 of the </w:t>
      </w:r>
      <w:r w:rsidR="00C70060">
        <w:rPr>
          <w:i/>
        </w:rPr>
        <w:t>Fisheries Management Act 2007</w:t>
      </w:r>
      <w:r w:rsidR="00C70060">
        <w:t xml:space="preserve"> </w:t>
      </w:r>
      <w:r w:rsidR="008E5F97">
        <w:t xml:space="preserve">until 1 July 2021. This is to ensure the MSF can be managed in a manner consistent with the ecologically sustainable development objectives of the Act and the reform measures, including </w:t>
      </w:r>
      <w:r>
        <w:t>the administrative process of allocating quota entitlements to individual licences</w:t>
      </w:r>
      <w:r w:rsidR="008E5F97">
        <w:t>, can be implemented in an equitable and efficient manner</w:t>
      </w:r>
      <w:r>
        <w:t xml:space="preserve">. </w:t>
      </w:r>
      <w:r w:rsidR="008E5F97" w:rsidRPr="008E5F97">
        <w:t xml:space="preserve">Licence holders have a right under section 111 of the </w:t>
      </w:r>
      <w:r w:rsidR="008E5F97">
        <w:t>Act</w:t>
      </w:r>
      <w:r w:rsidR="008E5F97" w:rsidRPr="008E5F97">
        <w:t xml:space="preserve"> to seek a review of a variation or imposition of a licence condition or refusal to issue, renew or consent to the transfer of an authority.  </w:t>
      </w:r>
    </w:p>
    <w:p w:rsidR="0042551B" w:rsidRPr="006334A3" w:rsidRDefault="0042551B" w:rsidP="00976BB0">
      <w:pPr>
        <w:pStyle w:val="Heading2"/>
      </w:pPr>
      <w:bookmarkStart w:id="37" w:name="_Toc47284564"/>
      <w:bookmarkStart w:id="38" w:name="_Toc48141150"/>
      <w:r>
        <w:t xml:space="preserve">Zoned </w:t>
      </w:r>
      <w:proofErr w:type="spellStart"/>
      <w:r>
        <w:t>licences</w:t>
      </w:r>
      <w:proofErr w:type="spellEnd"/>
      <w:r>
        <w:t xml:space="preserve"> or </w:t>
      </w:r>
      <w:r w:rsidR="00455BED">
        <w:t>S</w:t>
      </w:r>
      <w:r>
        <w:t>tate-wide access</w:t>
      </w:r>
      <w:bookmarkEnd w:id="37"/>
      <w:bookmarkEnd w:id="38"/>
    </w:p>
    <w:p w:rsidR="00C562B6" w:rsidRDefault="00C562B6" w:rsidP="00C70060">
      <w:r>
        <w:t>Four regional management zones were proposed in the MSF Reform - Stage 1 Information released in June 2020. This</w:t>
      </w:r>
      <w:r w:rsidRPr="00540E75">
        <w:t xml:space="preserve"> reg</w:t>
      </w:r>
      <w:r w:rsidR="00455BED">
        <w:t>ional structure could apply as S</w:t>
      </w:r>
      <w:r w:rsidRPr="00540E75">
        <w:t>tate-wide licences with managed access to each zone, or a</w:t>
      </w:r>
      <w:r>
        <w:t>s</w:t>
      </w:r>
      <w:r w:rsidRPr="00540E75">
        <w:t xml:space="preserve"> separately managed regional fisheries with licence holders having access to only one zone.</w:t>
      </w:r>
    </w:p>
    <w:p w:rsidR="00C562B6" w:rsidRDefault="00C562B6" w:rsidP="00C70060"/>
    <w:p w:rsidR="00C562B6" w:rsidRDefault="00C562B6" w:rsidP="00C70060">
      <w:r>
        <w:t xml:space="preserve">Zoned licences may better promote stewardship over each of the four regions in the MSF by the fishers based in each region and as such improve their social licence to fish within their local communities. It would also provide a more direct mechanism to limit the number of people operating in each zone. However, reducing </w:t>
      </w:r>
      <w:r w:rsidR="00455BED">
        <w:t>licence access to the MSF from S</w:t>
      </w:r>
      <w:r>
        <w:t xml:space="preserve">tate-wide to a single regional zone would limit flexibility for fishers and their businesses, including their ability to respond to future pressures such as </w:t>
      </w:r>
      <w:r w:rsidR="00040F5E">
        <w:t>stock sustainability issues</w:t>
      </w:r>
      <w:r w:rsidR="00957B9F">
        <w:t>,</w:t>
      </w:r>
      <w:r w:rsidR="00040F5E">
        <w:t xml:space="preserve"> </w:t>
      </w:r>
      <w:r>
        <w:t xml:space="preserve">the impacts of climate </w:t>
      </w:r>
      <w:r w:rsidR="00E43839">
        <w:t xml:space="preserve">variability </w:t>
      </w:r>
      <w:r w:rsidR="00957B9F">
        <w:t>or changing markets</w:t>
      </w:r>
      <w:r>
        <w:t xml:space="preserve">. </w:t>
      </w:r>
      <w:r>
        <w:lastRenderedPageBreak/>
        <w:t>Considering the limitations zoned licences would have on individual fishers and the fishery as a whole, it is proposed that MSF</w:t>
      </w:r>
      <w:r w:rsidR="005812CD">
        <w:t xml:space="preserve"> licences</w:t>
      </w:r>
      <w:r>
        <w:t xml:space="preserve"> should </w:t>
      </w:r>
      <w:r w:rsidR="00455BED">
        <w:t>not be zoned and should retain S</w:t>
      </w:r>
      <w:r>
        <w:t>tate-wide access to the fishery, subject to other conditions and regulations, including the quota management arrangements for key species.</w:t>
      </w:r>
    </w:p>
    <w:p w:rsidR="00C562B6" w:rsidRDefault="00C562B6" w:rsidP="00C70060"/>
    <w:p w:rsidR="00935C0B" w:rsidRDefault="00C562B6" w:rsidP="00C70060">
      <w:r>
        <w:rPr>
          <w:b/>
        </w:rPr>
        <w:t>Do you have any comm</w:t>
      </w:r>
      <w:r w:rsidR="00455BED">
        <w:rPr>
          <w:b/>
        </w:rPr>
        <w:t>ents on the proposal to retain S</w:t>
      </w:r>
      <w:r>
        <w:rPr>
          <w:b/>
        </w:rPr>
        <w:t>tate-wide access to the MSF for MSF licence holders? Complete the online feedback form.</w:t>
      </w:r>
    </w:p>
    <w:p w:rsidR="00935C0B" w:rsidRDefault="00935C0B" w:rsidP="00976BB0">
      <w:pPr>
        <w:pStyle w:val="Heading2"/>
      </w:pPr>
      <w:bookmarkStart w:id="39" w:name="_Toc47284565"/>
      <w:bookmarkStart w:id="40" w:name="_Toc48141151"/>
      <w:r>
        <w:t>Commercial access to the MSF by other fisheries</w:t>
      </w:r>
      <w:bookmarkEnd w:id="39"/>
      <w:bookmarkEnd w:id="40"/>
    </w:p>
    <w:p w:rsidR="00B55235" w:rsidRDefault="00C00501" w:rsidP="00C70060">
      <w:r>
        <w:t xml:space="preserve">The diverse mix of participants, fishing operations, devices and licence conditions make the task of managing the MSF efficiently and sustainably very complex. </w:t>
      </w:r>
    </w:p>
    <w:p w:rsidR="00B55235" w:rsidRDefault="00B55235" w:rsidP="00C70060"/>
    <w:p w:rsidR="00C00501" w:rsidRDefault="00C00501" w:rsidP="00C70060">
      <w:r>
        <w:t>South Australian c</w:t>
      </w:r>
      <w:r w:rsidRPr="00C00501">
        <w:t xml:space="preserve">ommercial fishing licences providing some form of access to marine </w:t>
      </w:r>
      <w:proofErr w:type="spellStart"/>
      <w:r w:rsidRPr="00C00501">
        <w:t>scalefish</w:t>
      </w:r>
      <w:proofErr w:type="spellEnd"/>
      <w:r w:rsidRPr="00C00501">
        <w:t xml:space="preserve"> species include the MSF, Sout</w:t>
      </w:r>
      <w:r>
        <w:t>hern Zone Rock Lobster Fishery</w:t>
      </w:r>
      <w:r w:rsidRPr="00C00501">
        <w:t xml:space="preserve">, Northern Zone Rock Lobster Fishery, Miscellaneous Fishery, Lakes and Coorong Fishery, Gulf St Vincent Prawn Fishery, Spencer Gulf Prawn Fishery, West Coast Prawn Fishery and Blue Crab Fishery. All fisheries with access </w:t>
      </w:r>
      <w:r w:rsidR="00B55235">
        <w:t>were</w:t>
      </w:r>
      <w:r w:rsidRPr="00C00501">
        <w:t xml:space="preserve"> included in the </w:t>
      </w:r>
      <w:r w:rsidR="00B55235">
        <w:t xml:space="preserve">initial allocation </w:t>
      </w:r>
      <w:r w:rsidRPr="00C00501">
        <w:t>process</w:t>
      </w:r>
      <w:r w:rsidR="00B55235" w:rsidRPr="00B55235">
        <w:t xml:space="preserve"> </w:t>
      </w:r>
      <w:r w:rsidR="00B55235">
        <w:t>where</w:t>
      </w:r>
      <w:r w:rsidR="00B55235" w:rsidRPr="00B55235">
        <w:t xml:space="preserve"> share</w:t>
      </w:r>
      <w:r w:rsidR="00B55235">
        <w:t>s</w:t>
      </w:r>
      <w:r w:rsidR="00B55235" w:rsidRPr="00B55235">
        <w:t xml:space="preserve"> of the fishery </w:t>
      </w:r>
      <w:r w:rsidR="00B55235">
        <w:t xml:space="preserve">were </w:t>
      </w:r>
      <w:r w:rsidR="00B55235" w:rsidRPr="00B55235">
        <w:t>allocated to each fishing sector</w:t>
      </w:r>
      <w:r w:rsidR="00B55235">
        <w:t xml:space="preserve"> in the </w:t>
      </w:r>
      <w:hyperlink r:id="rId19" w:history="1">
        <w:r w:rsidR="00B55235" w:rsidRPr="009D3323">
          <w:rPr>
            <w:rStyle w:val="Hyperlink"/>
            <w:i/>
          </w:rPr>
          <w:t xml:space="preserve">Management Plan for the South Australian Commercial Marine </w:t>
        </w:r>
        <w:proofErr w:type="spellStart"/>
        <w:r w:rsidR="00B55235" w:rsidRPr="009D3323">
          <w:rPr>
            <w:rStyle w:val="Hyperlink"/>
            <w:i/>
          </w:rPr>
          <w:t>Scalefish</w:t>
        </w:r>
        <w:proofErr w:type="spellEnd"/>
        <w:r w:rsidR="00B55235" w:rsidRPr="009D3323">
          <w:rPr>
            <w:rStyle w:val="Hyperlink"/>
            <w:i/>
          </w:rPr>
          <w:t xml:space="preserve"> Fishery</w:t>
        </w:r>
      </w:hyperlink>
      <w:r w:rsidRPr="00C00501">
        <w:t>.</w:t>
      </w:r>
    </w:p>
    <w:p w:rsidR="00C00501" w:rsidRDefault="00C00501" w:rsidP="00C70060"/>
    <w:p w:rsidR="009C5636" w:rsidRDefault="003A7D49" w:rsidP="00817DE4">
      <w:pPr>
        <w:spacing w:after="120"/>
      </w:pPr>
      <w:r>
        <w:t>The report of the I</w:t>
      </w:r>
      <w:r w:rsidR="00BD400F">
        <w:t>AAP</w:t>
      </w:r>
      <w:r>
        <w:t xml:space="preserve"> </w:t>
      </w:r>
      <w:r w:rsidR="002B3641">
        <w:t xml:space="preserve">considers the allocation of </w:t>
      </w:r>
      <w:r w:rsidR="00FF1362">
        <w:t xml:space="preserve">ITQ </w:t>
      </w:r>
      <w:r w:rsidR="002B3641">
        <w:t>units to licence holders in fisheries other than the MSF.</w:t>
      </w:r>
      <w:r w:rsidR="00FF1362">
        <w:t xml:space="preserve"> The Panel’s recommendations include:</w:t>
      </w:r>
    </w:p>
    <w:p w:rsidR="00FF1362" w:rsidRDefault="00FF1362" w:rsidP="00817DE4">
      <w:pPr>
        <w:pStyle w:val="ListParagraph"/>
        <w:numPr>
          <w:ilvl w:val="0"/>
          <w:numId w:val="28"/>
        </w:numPr>
        <w:spacing w:after="120"/>
        <w:ind w:left="567"/>
        <w:contextualSpacing w:val="0"/>
      </w:pPr>
      <w:r>
        <w:t xml:space="preserve">ITQs for priority species should be allocated to Option C endorsed licence holders in the rock lobster fisheries on catch history only </w:t>
      </w:r>
      <w:r w:rsidR="00345A88">
        <w:t xml:space="preserve">above a minimum catch of 50 kg </w:t>
      </w:r>
      <w:r>
        <w:t xml:space="preserve">using the same reference period as MSF </w:t>
      </w:r>
      <w:r w:rsidR="009D3323">
        <w:t>l</w:t>
      </w:r>
      <w:r>
        <w:t>icences.</w:t>
      </w:r>
    </w:p>
    <w:p w:rsidR="00FF1362" w:rsidRDefault="00FF1362" w:rsidP="00817DE4">
      <w:pPr>
        <w:pStyle w:val="ListParagraph"/>
        <w:numPr>
          <w:ilvl w:val="0"/>
          <w:numId w:val="28"/>
        </w:numPr>
        <w:spacing w:after="120"/>
        <w:ind w:left="567"/>
        <w:contextualSpacing w:val="0"/>
      </w:pPr>
      <w:r>
        <w:t>No ITQs for priority species should be allocated to the Spencer Gulf, Gulf St Vincent and West Coast prawn fisheries.</w:t>
      </w:r>
    </w:p>
    <w:p w:rsidR="00FF1362" w:rsidRDefault="00FF1362" w:rsidP="00C70060">
      <w:pPr>
        <w:pStyle w:val="ListParagraph"/>
        <w:numPr>
          <w:ilvl w:val="0"/>
          <w:numId w:val="28"/>
        </w:numPr>
        <w:ind w:left="567"/>
      </w:pPr>
      <w:r>
        <w:t xml:space="preserve">No ITQs for MSF priority species should be allocated to MSF endorsed licence holders in the Lakes and Coorong Fishery.   </w:t>
      </w:r>
    </w:p>
    <w:p w:rsidR="00FF1362" w:rsidRDefault="00FF1362" w:rsidP="00C70060"/>
    <w:p w:rsidR="008F6252" w:rsidRDefault="00FF1362" w:rsidP="00C70060">
      <w:r>
        <w:t xml:space="preserve">It is proposed </w:t>
      </w:r>
      <w:r w:rsidR="00BD53E7">
        <w:t xml:space="preserve">any future transfers of quota entitlements are only permitted to be made to MSF licences. This would mean licence holders in the rock lobster fisheries who are allocated ITQs for </w:t>
      </w:r>
      <w:r w:rsidR="009D3323">
        <w:t xml:space="preserve">priority </w:t>
      </w:r>
      <w:r w:rsidR="00BD53E7">
        <w:t xml:space="preserve">species could take those catches using their </w:t>
      </w:r>
      <w:r w:rsidR="009D3323">
        <w:t xml:space="preserve">ITQs and </w:t>
      </w:r>
      <w:r w:rsidR="00BD53E7">
        <w:t xml:space="preserve">Option C entitlements but they would not be able to accumulate </w:t>
      </w:r>
      <w:r w:rsidR="00853710">
        <w:t xml:space="preserve">any additional </w:t>
      </w:r>
      <w:r w:rsidR="00BD53E7">
        <w:t>quota for these species</w:t>
      </w:r>
      <w:r w:rsidR="009D3323">
        <w:t xml:space="preserve"> or transfer the ITQs to other rock lobster fishery licences</w:t>
      </w:r>
      <w:r w:rsidR="008F6252">
        <w:t>.</w:t>
      </w:r>
    </w:p>
    <w:p w:rsidR="008F6252" w:rsidRDefault="008F6252" w:rsidP="00C70060"/>
    <w:p w:rsidR="00BD53E7" w:rsidRDefault="00BD53E7" w:rsidP="00C70060">
      <w:r>
        <w:t xml:space="preserve">Participants in other fisheries who wish to increase their catches of </w:t>
      </w:r>
      <w:r w:rsidR="009D3323">
        <w:t xml:space="preserve">priority </w:t>
      </w:r>
      <w:r>
        <w:t xml:space="preserve">species in the MSF should become a licence holder in the MSF. </w:t>
      </w:r>
      <w:r w:rsidR="00853710">
        <w:t xml:space="preserve">It would also mean licence holders in other fisheries with some level of access to MSF species would not be able to acquire ITQs for </w:t>
      </w:r>
      <w:r w:rsidR="009D3323">
        <w:t xml:space="preserve">priority </w:t>
      </w:r>
      <w:r w:rsidR="00853710">
        <w:t xml:space="preserve">MSF species on those licences. </w:t>
      </w:r>
      <w:r w:rsidR="009F3D8E">
        <w:t xml:space="preserve">It is proposed MSF species without ITQs could continue to be taken in accordance with existing rules and regulations. </w:t>
      </w:r>
      <w:r w:rsidR="00CA13F4">
        <w:t xml:space="preserve">These changes would aim to rationalise </w:t>
      </w:r>
      <w:r w:rsidR="009F3D8E">
        <w:t>access to the MSF over time and improve the efficient management of the fishery.</w:t>
      </w:r>
    </w:p>
    <w:p w:rsidR="00C54763" w:rsidRDefault="00C54763" w:rsidP="00C70060"/>
    <w:p w:rsidR="00C54763" w:rsidRDefault="00CD5522" w:rsidP="00C70060">
      <w:pPr>
        <w:rPr>
          <w:b/>
        </w:rPr>
      </w:pPr>
      <w:r>
        <w:rPr>
          <w:b/>
        </w:rPr>
        <w:t>What do you think about</w:t>
      </w:r>
      <w:r w:rsidR="00C54763">
        <w:rPr>
          <w:b/>
        </w:rPr>
        <w:t xml:space="preserve"> the proposal to restrict transfers of quota entitlements for </w:t>
      </w:r>
      <w:r w:rsidR="009D3323">
        <w:rPr>
          <w:b/>
        </w:rPr>
        <w:t xml:space="preserve">priority </w:t>
      </w:r>
      <w:r w:rsidR="00C54763">
        <w:rPr>
          <w:b/>
        </w:rPr>
        <w:t>MSF species to MSF licence holders only and retain</w:t>
      </w:r>
      <w:r>
        <w:rPr>
          <w:b/>
        </w:rPr>
        <w:t>ing</w:t>
      </w:r>
      <w:r w:rsidR="00C54763">
        <w:rPr>
          <w:b/>
        </w:rPr>
        <w:t xml:space="preserve"> the existing access arrangements for other species? Complete the online feedback form.</w:t>
      </w:r>
    </w:p>
    <w:p w:rsidR="00753793" w:rsidRDefault="0060364C" w:rsidP="00753793">
      <w:pPr>
        <w:pStyle w:val="Heading2"/>
      </w:pPr>
      <w:bookmarkStart w:id="41" w:name="_Toc48141152"/>
      <w:r>
        <w:lastRenderedPageBreak/>
        <w:t xml:space="preserve">The costs of on-going management and </w:t>
      </w:r>
      <w:proofErr w:type="spellStart"/>
      <w:r>
        <w:t>licence</w:t>
      </w:r>
      <w:proofErr w:type="spellEnd"/>
      <w:r>
        <w:t xml:space="preserve"> fees</w:t>
      </w:r>
      <w:bookmarkEnd w:id="41"/>
    </w:p>
    <w:p w:rsidR="0060364C" w:rsidRDefault="0060364C" w:rsidP="00753793">
      <w:r>
        <w:t xml:space="preserve">Implementing reforms in the MSF will impact on the management program and associated costs of services in a number of ways. The fishery will continue to be managed in accordance with the PIRSA Cost Recovery Policy </w:t>
      </w:r>
      <w:r w:rsidR="00420BFC">
        <w:t>which</w:t>
      </w:r>
      <w:r>
        <w:t xml:space="preserve"> requires licence fees to fund the services related to commercial fishery management costs.</w:t>
      </w:r>
    </w:p>
    <w:p w:rsidR="0060364C" w:rsidRDefault="0060364C" w:rsidP="00753793"/>
    <w:p w:rsidR="00677A24" w:rsidRDefault="00677A24" w:rsidP="00677A24">
      <w:r>
        <w:t xml:space="preserve">The impact of the reform on future management costs will depend on a number of factors such as the change in fisheries research and stock assessment services resulting from a shift to a quota management system, the type of quota monitoring and reporting regime implemented, and the extent to which existing regulations and licence conditions can be reduced. </w:t>
      </w:r>
    </w:p>
    <w:p w:rsidR="00677A24" w:rsidRDefault="00677A24" w:rsidP="00677A24"/>
    <w:p w:rsidR="00ED53F2" w:rsidRDefault="00ED53F2" w:rsidP="00753793">
      <w:r>
        <w:t xml:space="preserve">A component of the reform package is funding of up to $2.51 million to support management services and to constrain individual licence fee increases to CPI only for a four year transition period while the number of licences is reduced and new arrangements implemented. </w:t>
      </w:r>
    </w:p>
    <w:p w:rsidR="00BA2743" w:rsidRDefault="00BA2743" w:rsidP="00753793"/>
    <w:p w:rsidR="00420BFC" w:rsidRDefault="009F39CA" w:rsidP="00753793">
      <w:r>
        <w:t>An example of t</w:t>
      </w:r>
      <w:r w:rsidR="00BA2743">
        <w:t>he expe</w:t>
      </w:r>
      <w:r>
        <w:t xml:space="preserve">cted change in individual fees </w:t>
      </w:r>
      <w:r w:rsidR="00D55E2E">
        <w:t>after the four years and with the expiry in 2023/24 of the current licence fee (snap</w:t>
      </w:r>
      <w:r w:rsidR="0018323B">
        <w:t xml:space="preserve">per) subsidy, is provided below. The fees </w:t>
      </w:r>
      <w:r w:rsidR="0018323B" w:rsidRPr="001C5C93">
        <w:t xml:space="preserve">estimated for 2024/25 represent </w:t>
      </w:r>
      <w:r w:rsidRPr="001C5C93">
        <w:t>a</w:t>
      </w:r>
      <w:r w:rsidR="0018323B" w:rsidRPr="001C5C93">
        <w:t xml:space="preserve"> return to full cost recovery</w:t>
      </w:r>
      <w:r w:rsidRPr="001C5C93">
        <w:t xml:space="preserve"> and assume status quo management, science and compliance programs</w:t>
      </w:r>
      <w:r w:rsidR="0018323B" w:rsidRPr="001C5C93">
        <w:t>.</w:t>
      </w:r>
      <w:r w:rsidRPr="001C5C93">
        <w:t xml:space="preserve"> </w:t>
      </w:r>
      <w:r w:rsidR="00FB7791">
        <w:t>However, a</w:t>
      </w:r>
      <w:r w:rsidRPr="001C5C93">
        <w:t>s noted above, it is expected the science and compliance programs are likely to change</w:t>
      </w:r>
      <w:r w:rsidR="00420BFC" w:rsidRPr="001C5C93">
        <w:t xml:space="preserve"> in consultation with industry</w:t>
      </w:r>
      <w:r w:rsidRPr="001C5C93">
        <w:t>.</w:t>
      </w:r>
    </w:p>
    <w:p w:rsidR="00420BFC" w:rsidRDefault="00420BFC">
      <w:pPr>
        <w:spacing w:line="240" w:lineRule="auto"/>
      </w:pPr>
    </w:p>
    <w:p w:rsidR="00C51BC4" w:rsidRDefault="00C51BC4">
      <w:pPr>
        <w:spacing w:line="240" w:lineRule="auto"/>
      </w:pPr>
    </w:p>
    <w:p w:rsidR="00E43839" w:rsidRPr="00FB7791" w:rsidRDefault="00E43839" w:rsidP="00753793">
      <w:r w:rsidRPr="00FB7791">
        <w:t xml:space="preserve">Table 1: </w:t>
      </w:r>
      <w:r w:rsidR="00FB7791" w:rsidRPr="00FB7791">
        <w:t xml:space="preserve">Current </w:t>
      </w:r>
      <w:r w:rsidR="00FB7791">
        <w:t xml:space="preserve">(and future estimated) </w:t>
      </w:r>
      <w:r w:rsidR="00FB7791" w:rsidRPr="00FB7791">
        <w:t>t</w:t>
      </w:r>
      <w:r w:rsidRPr="00FB7791">
        <w:t>otal management program cost</w:t>
      </w:r>
      <w:r w:rsidR="00FB7791" w:rsidRPr="00FB7791">
        <w:t>s.</w:t>
      </w:r>
    </w:p>
    <w:tbl>
      <w:tblPr>
        <w:tblStyle w:val="TableGrid"/>
        <w:tblW w:w="0" w:type="auto"/>
        <w:tblLook w:val="04A0" w:firstRow="1" w:lastRow="0" w:firstColumn="1" w:lastColumn="0" w:noHBand="0" w:noVBand="1"/>
      </w:tblPr>
      <w:tblGrid>
        <w:gridCol w:w="1898"/>
        <w:gridCol w:w="1318"/>
        <w:gridCol w:w="1318"/>
        <w:gridCol w:w="1318"/>
        <w:gridCol w:w="1318"/>
        <w:gridCol w:w="1318"/>
      </w:tblGrid>
      <w:tr w:rsidR="00E43839" w:rsidRPr="00FB7791" w:rsidTr="004F7637">
        <w:tc>
          <w:tcPr>
            <w:tcW w:w="1898" w:type="dxa"/>
          </w:tcPr>
          <w:p w:rsidR="00E43839" w:rsidRPr="00FB7791" w:rsidRDefault="00E43839" w:rsidP="00E43839">
            <w:pPr>
              <w:rPr>
                <w:b/>
              </w:rPr>
            </w:pPr>
          </w:p>
        </w:tc>
        <w:tc>
          <w:tcPr>
            <w:tcW w:w="1318" w:type="dxa"/>
          </w:tcPr>
          <w:p w:rsidR="00E43839" w:rsidRPr="00FB7791" w:rsidRDefault="00E43839" w:rsidP="00E43839">
            <w:pPr>
              <w:rPr>
                <w:b/>
              </w:rPr>
            </w:pPr>
            <w:r w:rsidRPr="00FB7791">
              <w:rPr>
                <w:b/>
              </w:rPr>
              <w:t>20/21</w:t>
            </w:r>
          </w:p>
        </w:tc>
        <w:tc>
          <w:tcPr>
            <w:tcW w:w="1318" w:type="dxa"/>
          </w:tcPr>
          <w:p w:rsidR="00E43839" w:rsidRPr="00FB7791" w:rsidRDefault="00E43839" w:rsidP="00E43839">
            <w:pPr>
              <w:rPr>
                <w:b/>
              </w:rPr>
            </w:pPr>
            <w:r w:rsidRPr="00FB7791">
              <w:rPr>
                <w:b/>
              </w:rPr>
              <w:t>21/22</w:t>
            </w:r>
            <w:r w:rsidR="004F7637" w:rsidRPr="00FB7791">
              <w:rPr>
                <w:b/>
              </w:rPr>
              <w:t>**</w:t>
            </w:r>
          </w:p>
        </w:tc>
        <w:tc>
          <w:tcPr>
            <w:tcW w:w="1318" w:type="dxa"/>
          </w:tcPr>
          <w:p w:rsidR="00E43839" w:rsidRPr="00FB7791" w:rsidRDefault="00E43839" w:rsidP="00E43839">
            <w:pPr>
              <w:rPr>
                <w:b/>
              </w:rPr>
            </w:pPr>
            <w:r w:rsidRPr="00FB7791">
              <w:rPr>
                <w:b/>
              </w:rPr>
              <w:t>22/23</w:t>
            </w:r>
          </w:p>
        </w:tc>
        <w:tc>
          <w:tcPr>
            <w:tcW w:w="1318" w:type="dxa"/>
          </w:tcPr>
          <w:p w:rsidR="00E43839" w:rsidRPr="00FB7791" w:rsidRDefault="00E43839" w:rsidP="00E43839">
            <w:pPr>
              <w:rPr>
                <w:b/>
              </w:rPr>
            </w:pPr>
            <w:r w:rsidRPr="00FB7791">
              <w:rPr>
                <w:b/>
              </w:rPr>
              <w:t>23/24</w:t>
            </w:r>
          </w:p>
        </w:tc>
        <w:tc>
          <w:tcPr>
            <w:tcW w:w="1318" w:type="dxa"/>
          </w:tcPr>
          <w:p w:rsidR="00E43839" w:rsidRPr="00FB7791" w:rsidRDefault="00E43839" w:rsidP="00E43839">
            <w:pPr>
              <w:rPr>
                <w:b/>
              </w:rPr>
            </w:pPr>
            <w:r w:rsidRPr="00FB7791">
              <w:rPr>
                <w:b/>
              </w:rPr>
              <w:t>24/25</w:t>
            </w:r>
          </w:p>
        </w:tc>
      </w:tr>
      <w:tr w:rsidR="00E43839" w:rsidRPr="00FB7791" w:rsidTr="004F7637">
        <w:tc>
          <w:tcPr>
            <w:tcW w:w="1898" w:type="dxa"/>
          </w:tcPr>
          <w:p w:rsidR="00E43839" w:rsidRPr="00FB7791" w:rsidRDefault="00E43839" w:rsidP="00E43839">
            <w:r w:rsidRPr="00FB7791">
              <w:t xml:space="preserve">Science </w:t>
            </w:r>
          </w:p>
        </w:tc>
        <w:tc>
          <w:tcPr>
            <w:tcW w:w="1318" w:type="dxa"/>
          </w:tcPr>
          <w:p w:rsidR="00E43839" w:rsidRPr="00FB7791" w:rsidRDefault="004F7637" w:rsidP="00E43839">
            <w:r w:rsidRPr="00FB7791">
              <w:t>$890,573</w:t>
            </w:r>
          </w:p>
        </w:tc>
        <w:tc>
          <w:tcPr>
            <w:tcW w:w="1318" w:type="dxa"/>
          </w:tcPr>
          <w:p w:rsidR="00E43839" w:rsidRPr="00FB7791" w:rsidRDefault="004F7637" w:rsidP="00E43839">
            <w:r w:rsidRPr="00FB7791">
              <w:t>$912,837</w:t>
            </w:r>
          </w:p>
        </w:tc>
        <w:tc>
          <w:tcPr>
            <w:tcW w:w="1318" w:type="dxa"/>
          </w:tcPr>
          <w:p w:rsidR="00E43839" w:rsidRPr="00FB7791" w:rsidRDefault="004F7637" w:rsidP="00E43839">
            <w:r w:rsidRPr="00FB7791">
              <w:t>$935,658</w:t>
            </w:r>
          </w:p>
        </w:tc>
        <w:tc>
          <w:tcPr>
            <w:tcW w:w="1318" w:type="dxa"/>
          </w:tcPr>
          <w:p w:rsidR="00E43839" w:rsidRPr="00FB7791" w:rsidRDefault="004F7637" w:rsidP="00E43839">
            <w:r w:rsidRPr="00FB7791">
              <w:t>$959,050</w:t>
            </w:r>
          </w:p>
        </w:tc>
        <w:tc>
          <w:tcPr>
            <w:tcW w:w="1318" w:type="dxa"/>
          </w:tcPr>
          <w:p w:rsidR="00E43839" w:rsidRPr="00FB7791" w:rsidRDefault="004F7637" w:rsidP="00E43839">
            <w:r w:rsidRPr="00FB7791">
              <w:t>$983,026</w:t>
            </w:r>
          </w:p>
        </w:tc>
      </w:tr>
      <w:tr w:rsidR="00E43839" w:rsidRPr="00FB7791" w:rsidTr="004F7637">
        <w:tc>
          <w:tcPr>
            <w:tcW w:w="1898" w:type="dxa"/>
          </w:tcPr>
          <w:p w:rsidR="00E43839" w:rsidRPr="00FB7791" w:rsidRDefault="00E43839" w:rsidP="00E43839">
            <w:r w:rsidRPr="00FB7791">
              <w:t>Compliance</w:t>
            </w:r>
          </w:p>
        </w:tc>
        <w:tc>
          <w:tcPr>
            <w:tcW w:w="1318" w:type="dxa"/>
          </w:tcPr>
          <w:p w:rsidR="00E43839" w:rsidRPr="00FB7791" w:rsidRDefault="004F7637" w:rsidP="00E43839">
            <w:r w:rsidRPr="00FB7791">
              <w:t>$1,309,191</w:t>
            </w:r>
          </w:p>
        </w:tc>
        <w:tc>
          <w:tcPr>
            <w:tcW w:w="1318" w:type="dxa"/>
          </w:tcPr>
          <w:p w:rsidR="00E43839" w:rsidRPr="00FB7791" w:rsidRDefault="004F7637" w:rsidP="00E43839">
            <w:r w:rsidRPr="00FB7791">
              <w:t>$1,341,921</w:t>
            </w:r>
          </w:p>
        </w:tc>
        <w:tc>
          <w:tcPr>
            <w:tcW w:w="1318" w:type="dxa"/>
          </w:tcPr>
          <w:p w:rsidR="00E43839" w:rsidRPr="00FB7791" w:rsidRDefault="004F7637" w:rsidP="00E43839">
            <w:r w:rsidRPr="00FB7791">
              <w:t>$1,375,469</w:t>
            </w:r>
          </w:p>
        </w:tc>
        <w:tc>
          <w:tcPr>
            <w:tcW w:w="1318" w:type="dxa"/>
          </w:tcPr>
          <w:p w:rsidR="00E43839" w:rsidRPr="00FB7791" w:rsidRDefault="004F7637" w:rsidP="00E43839">
            <w:r w:rsidRPr="00FB7791">
              <w:t>$1,409,856</w:t>
            </w:r>
          </w:p>
        </w:tc>
        <w:tc>
          <w:tcPr>
            <w:tcW w:w="1318" w:type="dxa"/>
          </w:tcPr>
          <w:p w:rsidR="00E43839" w:rsidRPr="00FB7791" w:rsidRDefault="004F7637" w:rsidP="00E43839">
            <w:r w:rsidRPr="00FB7791">
              <w:t>$1,445,102</w:t>
            </w:r>
          </w:p>
        </w:tc>
      </w:tr>
      <w:tr w:rsidR="00E43839" w:rsidRPr="00FB7791" w:rsidTr="004F7637">
        <w:tc>
          <w:tcPr>
            <w:tcW w:w="1898" w:type="dxa"/>
          </w:tcPr>
          <w:p w:rsidR="00E43839" w:rsidRPr="00FB7791" w:rsidRDefault="004F7637" w:rsidP="00E43839">
            <w:r w:rsidRPr="00FB7791">
              <w:t>*</w:t>
            </w:r>
            <w:r w:rsidR="00E43839" w:rsidRPr="00FB7791">
              <w:t>Management</w:t>
            </w:r>
          </w:p>
        </w:tc>
        <w:tc>
          <w:tcPr>
            <w:tcW w:w="1318" w:type="dxa"/>
          </w:tcPr>
          <w:p w:rsidR="00E43839" w:rsidRPr="00FB7791" w:rsidRDefault="004F7637" w:rsidP="00E43839">
            <w:r w:rsidRPr="00FB7791">
              <w:t>$310,060</w:t>
            </w:r>
          </w:p>
        </w:tc>
        <w:tc>
          <w:tcPr>
            <w:tcW w:w="1318" w:type="dxa"/>
          </w:tcPr>
          <w:p w:rsidR="00E43839" w:rsidRPr="00FB7791" w:rsidRDefault="004F7637" w:rsidP="00E43839">
            <w:r w:rsidRPr="00FB7791">
              <w:t>$317,812</w:t>
            </w:r>
          </w:p>
        </w:tc>
        <w:tc>
          <w:tcPr>
            <w:tcW w:w="1318" w:type="dxa"/>
          </w:tcPr>
          <w:p w:rsidR="00E43839" w:rsidRPr="00FB7791" w:rsidRDefault="004F7637" w:rsidP="00E43839">
            <w:r w:rsidRPr="00FB7791">
              <w:t>$325,757</w:t>
            </w:r>
          </w:p>
        </w:tc>
        <w:tc>
          <w:tcPr>
            <w:tcW w:w="1318" w:type="dxa"/>
          </w:tcPr>
          <w:p w:rsidR="00E43839" w:rsidRPr="00FB7791" w:rsidRDefault="004F7637" w:rsidP="00E43839">
            <w:r w:rsidRPr="00FB7791">
              <w:t>$333,901</w:t>
            </w:r>
          </w:p>
        </w:tc>
        <w:tc>
          <w:tcPr>
            <w:tcW w:w="1318" w:type="dxa"/>
          </w:tcPr>
          <w:p w:rsidR="00E43839" w:rsidRPr="00FB7791" w:rsidRDefault="004F7637" w:rsidP="00E43839">
            <w:r w:rsidRPr="00FB7791">
              <w:t>$342,248</w:t>
            </w:r>
          </w:p>
        </w:tc>
      </w:tr>
      <w:tr w:rsidR="00E43839" w:rsidRPr="00FB7791" w:rsidTr="004F7637">
        <w:tc>
          <w:tcPr>
            <w:tcW w:w="1898" w:type="dxa"/>
          </w:tcPr>
          <w:p w:rsidR="00E43839" w:rsidRPr="00FB7791" w:rsidRDefault="00E43839" w:rsidP="00E43839">
            <w:r w:rsidRPr="00FB7791">
              <w:t>Total</w:t>
            </w:r>
          </w:p>
        </w:tc>
        <w:tc>
          <w:tcPr>
            <w:tcW w:w="1318" w:type="dxa"/>
          </w:tcPr>
          <w:p w:rsidR="00E43839" w:rsidRPr="00FB7791" w:rsidRDefault="004F7637" w:rsidP="00E43839">
            <w:r w:rsidRPr="00FB7791">
              <w:t>$2,509,824</w:t>
            </w:r>
          </w:p>
        </w:tc>
        <w:tc>
          <w:tcPr>
            <w:tcW w:w="1318" w:type="dxa"/>
          </w:tcPr>
          <w:p w:rsidR="00E43839" w:rsidRPr="00FB7791" w:rsidRDefault="004F7637" w:rsidP="00E43839">
            <w:r w:rsidRPr="00FB7791">
              <w:t>$2,572,570</w:t>
            </w:r>
          </w:p>
        </w:tc>
        <w:tc>
          <w:tcPr>
            <w:tcW w:w="1318" w:type="dxa"/>
          </w:tcPr>
          <w:p w:rsidR="00E43839" w:rsidRPr="00FB7791" w:rsidRDefault="004F7637" w:rsidP="00E43839">
            <w:r w:rsidRPr="00FB7791">
              <w:t>$2,636,884</w:t>
            </w:r>
          </w:p>
        </w:tc>
        <w:tc>
          <w:tcPr>
            <w:tcW w:w="1318" w:type="dxa"/>
          </w:tcPr>
          <w:p w:rsidR="00E43839" w:rsidRPr="00FB7791" w:rsidRDefault="004F7637" w:rsidP="00E43839">
            <w:r w:rsidRPr="00FB7791">
              <w:t>$2,702,807</w:t>
            </w:r>
          </w:p>
        </w:tc>
        <w:tc>
          <w:tcPr>
            <w:tcW w:w="1318" w:type="dxa"/>
          </w:tcPr>
          <w:p w:rsidR="00E43839" w:rsidRPr="00FB7791" w:rsidRDefault="004F7637" w:rsidP="00E43839">
            <w:r w:rsidRPr="00FB7791">
              <w:t>$2,770,376</w:t>
            </w:r>
          </w:p>
        </w:tc>
      </w:tr>
    </w:tbl>
    <w:p w:rsidR="004F7637" w:rsidRPr="00FB7791" w:rsidRDefault="004F7637" w:rsidP="004F7637">
      <w:pPr>
        <w:rPr>
          <w:rFonts w:cs="Arial"/>
          <w:sz w:val="18"/>
          <w:szCs w:val="18"/>
        </w:rPr>
      </w:pPr>
      <w:r w:rsidRPr="00FB7791">
        <w:rPr>
          <w:rFonts w:cs="Arial"/>
          <w:sz w:val="18"/>
          <w:szCs w:val="18"/>
        </w:rPr>
        <w:t xml:space="preserve">*Management </w:t>
      </w:r>
      <w:r w:rsidR="00FB7791">
        <w:rPr>
          <w:rFonts w:cs="Arial"/>
          <w:sz w:val="18"/>
          <w:szCs w:val="18"/>
        </w:rPr>
        <w:t>c</w:t>
      </w:r>
      <w:r w:rsidRPr="00FB7791">
        <w:rPr>
          <w:rFonts w:cs="Arial"/>
          <w:sz w:val="18"/>
          <w:szCs w:val="18"/>
        </w:rPr>
        <w:t>osts</w:t>
      </w:r>
      <w:r w:rsidR="00FB7791">
        <w:rPr>
          <w:rFonts w:cs="Arial"/>
          <w:sz w:val="18"/>
          <w:szCs w:val="18"/>
        </w:rPr>
        <w:t xml:space="preserve"> include: Directorate, Leasing and</w:t>
      </w:r>
      <w:r w:rsidRPr="00FB7791">
        <w:rPr>
          <w:rFonts w:cs="Arial"/>
          <w:sz w:val="18"/>
          <w:szCs w:val="18"/>
        </w:rPr>
        <w:t xml:space="preserve"> Licensing, Legislation and Policy.</w:t>
      </w:r>
    </w:p>
    <w:p w:rsidR="00E43839" w:rsidRDefault="004F7637" w:rsidP="004F7637">
      <w:r w:rsidRPr="00FB7791">
        <w:rPr>
          <w:rFonts w:cs="Arial"/>
          <w:sz w:val="18"/>
          <w:szCs w:val="18"/>
        </w:rPr>
        <w:t>**An indexation rate of 2.5% has been applied to determine an estimate for Science, Compliance &amp; Management Costs</w:t>
      </w:r>
    </w:p>
    <w:p w:rsidR="004F7637" w:rsidRDefault="004F7637" w:rsidP="00753793"/>
    <w:p w:rsidR="0018323B" w:rsidRDefault="00420BFC" w:rsidP="00753793">
      <w:r>
        <w:t xml:space="preserve">Table </w:t>
      </w:r>
      <w:r w:rsidR="00E43839">
        <w:t>2</w:t>
      </w:r>
      <w:r>
        <w:t xml:space="preserve">: </w:t>
      </w:r>
      <w:r w:rsidR="00FB7791">
        <w:t>Current and e</w:t>
      </w:r>
      <w:r>
        <w:t>stimate of future annual licence fees</w:t>
      </w:r>
      <w:r w:rsidR="00B61866">
        <w:t xml:space="preserve"> (note these </w:t>
      </w:r>
      <w:r w:rsidR="00D06C27">
        <w:t xml:space="preserve">figures </w:t>
      </w:r>
      <w:r w:rsidR="00B61866">
        <w:t>are</w:t>
      </w:r>
      <w:r w:rsidR="00760AFA">
        <w:t xml:space="preserve"> not apportioned by base </w:t>
      </w:r>
      <w:r w:rsidR="00D06C27">
        <w:t xml:space="preserve">fee </w:t>
      </w:r>
      <w:r w:rsidR="00760AFA">
        <w:t>or quota units)</w:t>
      </w:r>
      <w:r w:rsidR="00D242E3">
        <w:t>.</w:t>
      </w:r>
    </w:p>
    <w:tbl>
      <w:tblPr>
        <w:tblStyle w:val="TableGrid"/>
        <w:tblW w:w="0" w:type="auto"/>
        <w:tblLook w:val="04A0" w:firstRow="1" w:lastRow="0" w:firstColumn="1" w:lastColumn="0" w:noHBand="0" w:noVBand="1"/>
      </w:tblPr>
      <w:tblGrid>
        <w:gridCol w:w="1963"/>
        <w:gridCol w:w="1305"/>
        <w:gridCol w:w="1305"/>
        <w:gridCol w:w="1305"/>
        <w:gridCol w:w="1305"/>
        <w:gridCol w:w="1305"/>
      </w:tblGrid>
      <w:tr w:rsidR="00420BFC" w:rsidRPr="00D242E3" w:rsidTr="001C5C93">
        <w:tc>
          <w:tcPr>
            <w:tcW w:w="1963" w:type="dxa"/>
          </w:tcPr>
          <w:p w:rsidR="00420BFC" w:rsidRPr="001C5C93" w:rsidRDefault="00420BFC" w:rsidP="00753793">
            <w:pPr>
              <w:rPr>
                <w:b/>
              </w:rPr>
            </w:pPr>
          </w:p>
        </w:tc>
        <w:tc>
          <w:tcPr>
            <w:tcW w:w="1305" w:type="dxa"/>
          </w:tcPr>
          <w:p w:rsidR="00420BFC" w:rsidRPr="001C5C93" w:rsidRDefault="00420BFC" w:rsidP="00753793">
            <w:pPr>
              <w:rPr>
                <w:b/>
              </w:rPr>
            </w:pPr>
            <w:r w:rsidRPr="001C5C93">
              <w:rPr>
                <w:b/>
              </w:rPr>
              <w:t>20/21</w:t>
            </w:r>
          </w:p>
        </w:tc>
        <w:tc>
          <w:tcPr>
            <w:tcW w:w="1305" w:type="dxa"/>
          </w:tcPr>
          <w:p w:rsidR="00420BFC" w:rsidRPr="001C5C93" w:rsidRDefault="00420BFC" w:rsidP="00753793">
            <w:pPr>
              <w:rPr>
                <w:b/>
              </w:rPr>
            </w:pPr>
            <w:r w:rsidRPr="001C5C93">
              <w:rPr>
                <w:b/>
              </w:rPr>
              <w:t>21/22</w:t>
            </w:r>
          </w:p>
        </w:tc>
        <w:tc>
          <w:tcPr>
            <w:tcW w:w="1305" w:type="dxa"/>
          </w:tcPr>
          <w:p w:rsidR="00420BFC" w:rsidRPr="001C5C93" w:rsidRDefault="00420BFC" w:rsidP="00753793">
            <w:pPr>
              <w:rPr>
                <w:b/>
              </w:rPr>
            </w:pPr>
            <w:r w:rsidRPr="001C5C93">
              <w:rPr>
                <w:b/>
              </w:rPr>
              <w:t>22/23</w:t>
            </w:r>
          </w:p>
        </w:tc>
        <w:tc>
          <w:tcPr>
            <w:tcW w:w="1305" w:type="dxa"/>
          </w:tcPr>
          <w:p w:rsidR="00420BFC" w:rsidRPr="001C5C93" w:rsidRDefault="00420BFC" w:rsidP="00753793">
            <w:pPr>
              <w:rPr>
                <w:b/>
              </w:rPr>
            </w:pPr>
            <w:r w:rsidRPr="001C5C93">
              <w:rPr>
                <w:b/>
              </w:rPr>
              <w:t>23/24</w:t>
            </w:r>
          </w:p>
        </w:tc>
        <w:tc>
          <w:tcPr>
            <w:tcW w:w="1305" w:type="dxa"/>
          </w:tcPr>
          <w:p w:rsidR="00420BFC" w:rsidRPr="001C5C93" w:rsidRDefault="00420BFC" w:rsidP="00753793">
            <w:pPr>
              <w:rPr>
                <w:b/>
              </w:rPr>
            </w:pPr>
            <w:r w:rsidRPr="001C5C93">
              <w:rPr>
                <w:b/>
              </w:rPr>
              <w:t>24/25</w:t>
            </w:r>
          </w:p>
        </w:tc>
      </w:tr>
      <w:tr w:rsidR="00420BFC" w:rsidTr="001C5C93">
        <w:tc>
          <w:tcPr>
            <w:tcW w:w="1963" w:type="dxa"/>
          </w:tcPr>
          <w:p w:rsidR="00420BFC" w:rsidRDefault="00420BFC" w:rsidP="00753793">
            <w:r>
              <w:t>Line base fee</w:t>
            </w:r>
          </w:p>
        </w:tc>
        <w:tc>
          <w:tcPr>
            <w:tcW w:w="1305" w:type="dxa"/>
          </w:tcPr>
          <w:p w:rsidR="00420BFC" w:rsidRDefault="00420BFC" w:rsidP="00753793">
            <w:r>
              <w:t>$2,886</w:t>
            </w:r>
          </w:p>
        </w:tc>
        <w:tc>
          <w:tcPr>
            <w:tcW w:w="1305" w:type="dxa"/>
          </w:tcPr>
          <w:p w:rsidR="00420BFC" w:rsidRDefault="00420BFC" w:rsidP="00753793">
            <w:r>
              <w:t>$2,958</w:t>
            </w:r>
          </w:p>
        </w:tc>
        <w:tc>
          <w:tcPr>
            <w:tcW w:w="1305" w:type="dxa"/>
          </w:tcPr>
          <w:p w:rsidR="00420BFC" w:rsidRDefault="00420BFC" w:rsidP="00753793">
            <w:r>
              <w:t>$3,032</w:t>
            </w:r>
          </w:p>
        </w:tc>
        <w:tc>
          <w:tcPr>
            <w:tcW w:w="1305" w:type="dxa"/>
          </w:tcPr>
          <w:p w:rsidR="00420BFC" w:rsidRDefault="00420BFC" w:rsidP="00753793">
            <w:r>
              <w:t>$8,659</w:t>
            </w:r>
          </w:p>
        </w:tc>
        <w:tc>
          <w:tcPr>
            <w:tcW w:w="1305" w:type="dxa"/>
          </w:tcPr>
          <w:p w:rsidR="00420BFC" w:rsidRDefault="00420BFC" w:rsidP="00753793">
            <w:r>
              <w:t>$12,593</w:t>
            </w:r>
          </w:p>
        </w:tc>
      </w:tr>
      <w:tr w:rsidR="00420BFC" w:rsidTr="001C5C93">
        <w:tc>
          <w:tcPr>
            <w:tcW w:w="1963" w:type="dxa"/>
          </w:tcPr>
          <w:p w:rsidR="00420BFC" w:rsidRDefault="00420BFC" w:rsidP="00753793">
            <w:r>
              <w:t>Net fee*</w:t>
            </w:r>
          </w:p>
        </w:tc>
        <w:tc>
          <w:tcPr>
            <w:tcW w:w="1305" w:type="dxa"/>
          </w:tcPr>
          <w:p w:rsidR="00420BFC" w:rsidRDefault="00420BFC" w:rsidP="00753793">
            <w:r>
              <w:t>$5,196</w:t>
            </w:r>
          </w:p>
        </w:tc>
        <w:tc>
          <w:tcPr>
            <w:tcW w:w="1305" w:type="dxa"/>
          </w:tcPr>
          <w:p w:rsidR="00420BFC" w:rsidRDefault="00420BFC" w:rsidP="00753793">
            <w:r>
              <w:t>$5,326</w:t>
            </w:r>
          </w:p>
        </w:tc>
        <w:tc>
          <w:tcPr>
            <w:tcW w:w="1305" w:type="dxa"/>
          </w:tcPr>
          <w:p w:rsidR="00420BFC" w:rsidRDefault="00420BFC" w:rsidP="00753793">
            <w:r>
              <w:t>$5,459</w:t>
            </w:r>
          </w:p>
        </w:tc>
        <w:tc>
          <w:tcPr>
            <w:tcW w:w="1305" w:type="dxa"/>
          </w:tcPr>
          <w:p w:rsidR="00420BFC" w:rsidRDefault="00420BFC" w:rsidP="00367F62">
            <w:r>
              <w:t>$</w:t>
            </w:r>
            <w:r w:rsidR="00367F62">
              <w:t>9,595</w:t>
            </w:r>
          </w:p>
        </w:tc>
        <w:tc>
          <w:tcPr>
            <w:tcW w:w="1305" w:type="dxa"/>
          </w:tcPr>
          <w:p w:rsidR="00420BFC" w:rsidRDefault="00420BFC" w:rsidP="00753793">
            <w:r>
              <w:t>$22,283</w:t>
            </w:r>
          </w:p>
        </w:tc>
      </w:tr>
    </w:tbl>
    <w:p w:rsidR="00D55E2E" w:rsidRPr="00FB7791" w:rsidRDefault="00D242E3" w:rsidP="00753793">
      <w:pPr>
        <w:rPr>
          <w:sz w:val="18"/>
          <w:szCs w:val="18"/>
        </w:rPr>
      </w:pPr>
      <w:r w:rsidRPr="00FB7791">
        <w:rPr>
          <w:sz w:val="18"/>
          <w:szCs w:val="18"/>
        </w:rPr>
        <w:t>*</w:t>
      </w:r>
      <w:r w:rsidR="00FB7791">
        <w:rPr>
          <w:sz w:val="18"/>
          <w:szCs w:val="18"/>
        </w:rPr>
        <w:t>N</w:t>
      </w:r>
      <w:r w:rsidR="00420BFC" w:rsidRPr="00FB7791">
        <w:rPr>
          <w:sz w:val="18"/>
          <w:szCs w:val="18"/>
        </w:rPr>
        <w:t>et fisher pays both a base fee and the net fee</w:t>
      </w:r>
      <w:r w:rsidR="00C51BC4" w:rsidRPr="00FB7791">
        <w:rPr>
          <w:sz w:val="18"/>
          <w:szCs w:val="18"/>
        </w:rPr>
        <w:t xml:space="preserve">; note without the current licence fee </w:t>
      </w:r>
      <w:r w:rsidR="00E43839" w:rsidRPr="00FB7791">
        <w:rPr>
          <w:sz w:val="18"/>
          <w:szCs w:val="18"/>
        </w:rPr>
        <w:t xml:space="preserve">(snapper) subsidy, the line base fee would have been </w:t>
      </w:r>
      <w:r w:rsidR="004F7637" w:rsidRPr="00FB7791">
        <w:rPr>
          <w:sz w:val="18"/>
          <w:szCs w:val="18"/>
        </w:rPr>
        <w:t xml:space="preserve">$5,894 in 2020/21, $6,041 in 2021/2022 and $6,192 in 2022/23. 2.5% has been added to the 2021/22 and the 2022/23 years to determine an estimate. </w:t>
      </w:r>
    </w:p>
    <w:p w:rsidR="00E43839" w:rsidRDefault="00E43839" w:rsidP="00753793"/>
    <w:p w:rsidR="00D242E3" w:rsidRDefault="00677A24" w:rsidP="00753793">
      <w:r>
        <w:t xml:space="preserve">The calculation to determine </w:t>
      </w:r>
      <w:r w:rsidR="00BA2743">
        <w:t xml:space="preserve">current </w:t>
      </w:r>
      <w:r>
        <w:t>licence fees is complex</w:t>
      </w:r>
      <w:r w:rsidR="00BA2743">
        <w:t>; it is likely to change substantially following the ref</w:t>
      </w:r>
      <w:bookmarkStart w:id="42" w:name="_GoBack"/>
      <w:bookmarkEnd w:id="42"/>
      <w:r w:rsidR="00BA2743">
        <w:t xml:space="preserve">orm of the fishery and as quota units apply to priority species. </w:t>
      </w:r>
    </w:p>
    <w:p w:rsidR="00D242E3" w:rsidRDefault="00D242E3" w:rsidP="00753793"/>
    <w:p w:rsidR="00957B9F" w:rsidRDefault="00E43839" w:rsidP="00957B9F">
      <w:r w:rsidRPr="00537F93">
        <w:lastRenderedPageBreak/>
        <w:t xml:space="preserve">The estimates as set out in </w:t>
      </w:r>
      <w:r w:rsidR="0048526C">
        <w:t>t</w:t>
      </w:r>
      <w:r w:rsidRPr="00537F93">
        <w:t>able 2 are based on the assumption management fees will be split equally amongst fishers.</w:t>
      </w:r>
      <w:r>
        <w:t xml:space="preserve"> However, m</w:t>
      </w:r>
      <w:r w:rsidR="00957B9F">
        <w:t xml:space="preserve">anagement costs may be apportioned away from ‘base’ and ‘net’ fees with some component attributed against quota units in the fishery. This would mean the more quota units an individual holds, the higher proportion of the costs of management they pay. Likewise, as the Voluntary Licence Surrender Program will remove licence holders from the fishery, the fees are expected to increase for each individual licence holder compared to before the surrender program. The method for attributing cost recovered licence fees within the fishery will be determined in consultation with the industry before </w:t>
      </w:r>
      <w:r w:rsidR="0048526C">
        <w:t>it takes</w:t>
      </w:r>
      <w:r w:rsidR="00957B9F">
        <w:t xml:space="preserve"> effect in 2024/25.</w:t>
      </w:r>
    </w:p>
    <w:p w:rsidR="00957B9F" w:rsidRDefault="00957B9F" w:rsidP="00957B9F"/>
    <w:p w:rsidR="00957B9F" w:rsidRDefault="00957B9F" w:rsidP="00957B9F">
      <w:r>
        <w:t xml:space="preserve">The above estimate </w:t>
      </w:r>
      <w:r w:rsidR="0048526C">
        <w:t xml:space="preserve">in table 2 </w:t>
      </w:r>
      <w:r>
        <w:t>also assumes the number of Rock Lobster Fishery Option C licences remain the same in the fishery. If a number of these licences are surrendered from the fishery, then fees will increase further.</w:t>
      </w:r>
    </w:p>
    <w:p w:rsidR="00732399" w:rsidRPr="00732399" w:rsidRDefault="00732399" w:rsidP="00C70060">
      <w:pPr>
        <w:pStyle w:val="Heading1"/>
      </w:pPr>
      <w:bookmarkStart w:id="43" w:name="_Toc47284566"/>
      <w:bookmarkStart w:id="44" w:name="_Toc48141153"/>
      <w:r w:rsidRPr="00732399">
        <w:t>Support services available to industry</w:t>
      </w:r>
      <w:bookmarkEnd w:id="43"/>
      <w:bookmarkEnd w:id="44"/>
      <w:r w:rsidRPr="00732399">
        <w:t xml:space="preserve"> </w:t>
      </w:r>
    </w:p>
    <w:p w:rsidR="00E341B2" w:rsidRPr="00371742" w:rsidRDefault="00E341B2" w:rsidP="00C70060">
      <w:pPr>
        <w:rPr>
          <w:b/>
        </w:rPr>
      </w:pPr>
      <w:r w:rsidRPr="00371742">
        <w:rPr>
          <w:b/>
        </w:rPr>
        <w:t>Family and Business Support (</w:t>
      </w:r>
      <w:proofErr w:type="spellStart"/>
      <w:r w:rsidRPr="00371742">
        <w:rPr>
          <w:b/>
        </w:rPr>
        <w:t>FaBS</w:t>
      </w:r>
      <w:proofErr w:type="spellEnd"/>
      <w:r w:rsidRPr="00371742">
        <w:rPr>
          <w:b/>
        </w:rPr>
        <w:t>)</w:t>
      </w:r>
    </w:p>
    <w:p w:rsidR="00AB21CC" w:rsidRDefault="00AB21CC" w:rsidP="00C70060"/>
    <w:p w:rsidR="00E341B2" w:rsidRPr="009F364B" w:rsidRDefault="00E341B2" w:rsidP="00C70060">
      <w:r w:rsidRPr="009F364B">
        <w:t xml:space="preserve">South Australian fishers, their families and businesses affected by </w:t>
      </w:r>
      <w:r w:rsidR="008F6252">
        <w:t xml:space="preserve">the </w:t>
      </w:r>
      <w:r w:rsidRPr="00371742">
        <w:t>reform</w:t>
      </w:r>
      <w:r w:rsidRPr="009F364B">
        <w:t xml:space="preserve"> can access help through the Family and Business Support (</w:t>
      </w:r>
      <w:proofErr w:type="spellStart"/>
      <w:r w:rsidRPr="009F364B">
        <w:t>FaBS</w:t>
      </w:r>
      <w:proofErr w:type="spellEnd"/>
      <w:r w:rsidRPr="009F364B">
        <w:t>)</w:t>
      </w:r>
      <w:r>
        <w:t xml:space="preserve"> Mentors program.</w:t>
      </w:r>
      <w:r w:rsidR="00AB21CC">
        <w:t xml:space="preserve"> </w:t>
      </w:r>
      <w:proofErr w:type="spellStart"/>
      <w:r w:rsidRPr="009F364B">
        <w:t>FaBS</w:t>
      </w:r>
      <w:proofErr w:type="spellEnd"/>
      <w:r w:rsidRPr="009F364B">
        <w:t xml:space="preserve"> Mentors have experience and understand</w:t>
      </w:r>
      <w:r>
        <w:t xml:space="preserve">ing in dealing with difficult issues.  </w:t>
      </w:r>
      <w:r w:rsidRPr="009F364B">
        <w:t xml:space="preserve">They provide an informal, independent and </w:t>
      </w:r>
      <w:r>
        <w:t xml:space="preserve">an </w:t>
      </w:r>
      <w:r w:rsidRPr="009F364B">
        <w:t>understanding platform</w:t>
      </w:r>
      <w:r>
        <w:t xml:space="preserve"> to </w:t>
      </w:r>
      <w:r w:rsidRPr="00371742">
        <w:t>fishers affected by the reform</w:t>
      </w:r>
      <w:r w:rsidRPr="009F364B">
        <w:t>.</w:t>
      </w:r>
      <w:r w:rsidR="00AB21CC">
        <w:t xml:space="preserve"> </w:t>
      </w:r>
      <w:proofErr w:type="spellStart"/>
      <w:r>
        <w:t>FaBS</w:t>
      </w:r>
      <w:proofErr w:type="spellEnd"/>
      <w:r w:rsidRPr="009F364B">
        <w:t xml:space="preserve"> will listen and help you find ways to manage your situation</w:t>
      </w:r>
      <w:r>
        <w:t>.  T</w:t>
      </w:r>
      <w:r w:rsidRPr="009F364B">
        <w:t xml:space="preserve">hey can help provide connections to services including: financial counselling; local health networks; emotional wellbeing and counselling services; government and non-government assistance; </w:t>
      </w:r>
      <w:r w:rsidR="008F6252">
        <w:t xml:space="preserve">and </w:t>
      </w:r>
      <w:r w:rsidRPr="009F364B">
        <w:t>community organisations and assistance.</w:t>
      </w:r>
    </w:p>
    <w:p w:rsidR="00AB21CC" w:rsidRDefault="00AB21CC" w:rsidP="00C70060"/>
    <w:p w:rsidR="00E341B2" w:rsidRDefault="00E341B2" w:rsidP="00C70060">
      <w:r>
        <w:t>If you or someone you know needs help</w:t>
      </w:r>
      <w:r w:rsidRPr="009F364B">
        <w:t xml:space="preserve"> connect with a </w:t>
      </w:r>
      <w:proofErr w:type="spellStart"/>
      <w:r w:rsidRPr="009F364B">
        <w:t>FaBS</w:t>
      </w:r>
      <w:proofErr w:type="spellEnd"/>
      <w:r w:rsidRPr="009F364B">
        <w:t xml:space="preserve"> Mentor for a free, confidential chat</w:t>
      </w:r>
      <w:r w:rsidR="009B0CFC">
        <w:t>, please call:</w:t>
      </w:r>
    </w:p>
    <w:p w:rsidR="00E341B2" w:rsidRPr="0053259C" w:rsidRDefault="00E341B2" w:rsidP="00C70060">
      <w:pPr>
        <w:pStyle w:val="ListParagraph"/>
        <w:numPr>
          <w:ilvl w:val="0"/>
          <w:numId w:val="15"/>
        </w:numPr>
        <w:spacing w:line="240" w:lineRule="auto"/>
        <w:ind w:left="567"/>
      </w:pPr>
      <w:r w:rsidRPr="0053259C">
        <w:t>Helen Lamont: 0409 885 606</w:t>
      </w:r>
    </w:p>
    <w:p w:rsidR="00E341B2" w:rsidRDefault="00E341B2" w:rsidP="00C70060">
      <w:pPr>
        <w:pStyle w:val="ListParagraph"/>
        <w:numPr>
          <w:ilvl w:val="0"/>
          <w:numId w:val="15"/>
        </w:numPr>
        <w:spacing w:line="240" w:lineRule="auto"/>
        <w:ind w:left="567"/>
      </w:pPr>
      <w:r w:rsidRPr="0053259C">
        <w:t>Colleen White: 0409 388 649</w:t>
      </w:r>
    </w:p>
    <w:p w:rsidR="00E62B0F" w:rsidRDefault="00E62B0F" w:rsidP="00C70060">
      <w:pPr>
        <w:rPr>
          <w:b/>
        </w:rPr>
      </w:pPr>
    </w:p>
    <w:p w:rsidR="00E341B2" w:rsidRPr="00D63A07" w:rsidRDefault="00E341B2" w:rsidP="00C70060">
      <w:pPr>
        <w:rPr>
          <w:b/>
        </w:rPr>
      </w:pPr>
      <w:r w:rsidRPr="00D63A07">
        <w:rPr>
          <w:b/>
        </w:rPr>
        <w:t xml:space="preserve">Rural Financial Counselling Service </w:t>
      </w:r>
    </w:p>
    <w:p w:rsidR="00AB21CC" w:rsidRDefault="00AB21CC" w:rsidP="00C70060"/>
    <w:p w:rsidR="00E341B2" w:rsidRPr="001E63BD" w:rsidRDefault="00E341B2" w:rsidP="00C70060">
      <w:r>
        <w:t xml:space="preserve">Rural </w:t>
      </w:r>
      <w:r w:rsidR="00BD400F">
        <w:t>f</w:t>
      </w:r>
      <w:r>
        <w:t xml:space="preserve">inancial </w:t>
      </w:r>
      <w:r w:rsidR="00BD400F">
        <w:t>c</w:t>
      </w:r>
      <w:r>
        <w:t xml:space="preserve">ounsellors are available to support fishing enterprises experiencing, or </w:t>
      </w:r>
      <w:r w:rsidR="008F6252">
        <w:t>at risk of, financial hardship.</w:t>
      </w:r>
      <w:r>
        <w:t xml:space="preserve"> They can help you understand your financial position and the viability of your enterprise and develop and implement plans to improve your financial situation.</w:t>
      </w:r>
      <w:r w:rsidR="00AB21CC">
        <w:t xml:space="preserve"> </w:t>
      </w:r>
      <w:r w:rsidRPr="001E63BD">
        <w:t>It is a free, confidential service</w:t>
      </w:r>
      <w:r>
        <w:t xml:space="preserve"> that provides</w:t>
      </w:r>
      <w:r w:rsidRPr="001E63BD">
        <w:t xml:space="preserve"> individual support to help you make decisions for your business.</w:t>
      </w:r>
    </w:p>
    <w:p w:rsidR="00AB21CC" w:rsidRDefault="00AB21CC" w:rsidP="00C70060"/>
    <w:p w:rsidR="00E341B2" w:rsidRPr="001E63BD" w:rsidRDefault="00E341B2" w:rsidP="00C70060">
      <w:r w:rsidRPr="001E63BD">
        <w:t>As part of their service, rural financial counsellors can also help you to:</w:t>
      </w:r>
    </w:p>
    <w:p w:rsidR="00E341B2" w:rsidRPr="001E63BD" w:rsidRDefault="00E341B2" w:rsidP="00C70060">
      <w:pPr>
        <w:pStyle w:val="ListParagraph"/>
        <w:numPr>
          <w:ilvl w:val="0"/>
          <w:numId w:val="21"/>
        </w:numPr>
        <w:spacing w:after="160" w:line="240" w:lineRule="auto"/>
        <w:ind w:left="567"/>
      </w:pPr>
      <w:r w:rsidRPr="001E63BD">
        <w:t>identify your financial and business options</w:t>
      </w:r>
    </w:p>
    <w:p w:rsidR="00E341B2" w:rsidRPr="001E63BD" w:rsidRDefault="00E341B2" w:rsidP="00C70060">
      <w:pPr>
        <w:pStyle w:val="ListParagraph"/>
        <w:numPr>
          <w:ilvl w:val="0"/>
          <w:numId w:val="21"/>
        </w:numPr>
        <w:spacing w:after="160" w:line="240" w:lineRule="auto"/>
        <w:ind w:left="567"/>
      </w:pPr>
      <w:r w:rsidRPr="001E63BD">
        <w:t>negotiate with your lenders</w:t>
      </w:r>
    </w:p>
    <w:p w:rsidR="00E341B2" w:rsidRPr="001E63BD" w:rsidRDefault="00E341B2" w:rsidP="00C70060">
      <w:pPr>
        <w:pStyle w:val="ListParagraph"/>
        <w:numPr>
          <w:ilvl w:val="0"/>
          <w:numId w:val="21"/>
        </w:numPr>
        <w:spacing w:after="160" w:line="240" w:lineRule="auto"/>
        <w:ind w:left="567"/>
      </w:pPr>
      <w:r w:rsidRPr="001E63BD">
        <w:t>identify other assistance schemes</w:t>
      </w:r>
    </w:p>
    <w:p w:rsidR="00E341B2" w:rsidRDefault="00E341B2" w:rsidP="00C70060">
      <w:r w:rsidRPr="001E63BD">
        <w:t xml:space="preserve">Rural financial counsellors can </w:t>
      </w:r>
      <w:r>
        <w:t xml:space="preserve">also </w:t>
      </w:r>
      <w:r w:rsidRPr="001E63BD">
        <w:t>refer you to other professional services, including accountants, agricultural advisors, education, or mental health services</w:t>
      </w:r>
      <w:r w:rsidR="00BD400F">
        <w:t>.</w:t>
      </w:r>
    </w:p>
    <w:p w:rsidR="00BD400F" w:rsidRPr="001E63BD" w:rsidRDefault="00BD400F" w:rsidP="00C70060"/>
    <w:p w:rsidR="004A1075" w:rsidRDefault="00E341B2" w:rsidP="00C70060">
      <w:r>
        <w:t>T</w:t>
      </w:r>
      <w:r w:rsidRPr="008B25D5">
        <w:t>he program is delivered through Rural Business Support. You can contact Rural Business Support by calling 1800 836 211 (</w:t>
      </w:r>
      <w:proofErr w:type="spellStart"/>
      <w:r w:rsidRPr="008B25D5">
        <w:t>Freecall</w:t>
      </w:r>
      <w:proofErr w:type="spellEnd"/>
      <w:r w:rsidRPr="008B25D5">
        <w:t>).</w:t>
      </w:r>
    </w:p>
    <w:p w:rsidR="00856AED" w:rsidRDefault="008F6252" w:rsidP="00C70060">
      <w:pPr>
        <w:pStyle w:val="Heading1"/>
      </w:pPr>
      <w:bookmarkStart w:id="45" w:name="_Toc47284567"/>
      <w:bookmarkStart w:id="46" w:name="_Toc48141154"/>
      <w:r>
        <w:lastRenderedPageBreak/>
        <w:t>Consultation and f</w:t>
      </w:r>
      <w:r w:rsidR="00856AED" w:rsidRPr="00856AED">
        <w:t>eedback</w:t>
      </w:r>
      <w:bookmarkEnd w:id="45"/>
      <w:bookmarkEnd w:id="46"/>
      <w:r w:rsidR="00856AED" w:rsidRPr="00856AED">
        <w:t xml:space="preserve"> </w:t>
      </w:r>
    </w:p>
    <w:p w:rsidR="00856AED" w:rsidRDefault="00856AED" w:rsidP="00C70060">
      <w:r w:rsidRPr="00856AED">
        <w:t xml:space="preserve">Licence holders are invited to provide feedback on </w:t>
      </w:r>
      <w:r w:rsidR="00C3635F">
        <w:t>the</w:t>
      </w:r>
      <w:r w:rsidR="00C3635F" w:rsidRPr="00856AED">
        <w:t xml:space="preserve"> </w:t>
      </w:r>
      <w:r w:rsidRPr="00856AED">
        <w:t>information</w:t>
      </w:r>
      <w:r w:rsidR="00C3635F">
        <w:t xml:space="preserve"> in this paper by </w:t>
      </w:r>
      <w:r w:rsidR="0048526C">
        <w:br/>
      </w:r>
      <w:r w:rsidR="00C3635F">
        <w:t>18 September 2020</w:t>
      </w:r>
      <w:r w:rsidRPr="00856AED">
        <w:t xml:space="preserve">. Feedback will be considered as part of future refinements to the </w:t>
      </w:r>
      <w:r w:rsidR="00BD400F">
        <w:t xml:space="preserve">MSF </w:t>
      </w:r>
      <w:r w:rsidRPr="00856AED">
        <w:t xml:space="preserve">reform process. </w:t>
      </w:r>
    </w:p>
    <w:p w:rsidR="00856AED" w:rsidRDefault="00856AED" w:rsidP="00C70060"/>
    <w:p w:rsidR="00856AED" w:rsidRDefault="00856AED" w:rsidP="00C70060">
      <w:r w:rsidRPr="00856AED">
        <w:t xml:space="preserve">Please complete the online feedback form via </w:t>
      </w:r>
      <w:hyperlink r:id="rId20" w:history="1">
        <w:r w:rsidRPr="002623EB">
          <w:rPr>
            <w:rStyle w:val="Hyperlink"/>
          </w:rPr>
          <w:t>www.pir.sa.gov.au/fishingreform</w:t>
        </w:r>
      </w:hyperlink>
      <w:r w:rsidRPr="00856AED">
        <w:t xml:space="preserve"> </w:t>
      </w:r>
    </w:p>
    <w:p w:rsidR="004F76D8" w:rsidRDefault="004F76D8" w:rsidP="00C70060"/>
    <w:p w:rsidR="00997973" w:rsidRDefault="004F76D8" w:rsidP="00997973">
      <w:r>
        <w:t xml:space="preserve">Alternatively, you are welcome to </w:t>
      </w:r>
      <w:r w:rsidR="0048526C">
        <w:t xml:space="preserve">provide </w:t>
      </w:r>
      <w:r>
        <w:t xml:space="preserve">a written submission via email to </w:t>
      </w:r>
      <w:hyperlink r:id="rId21" w:history="1">
        <w:r w:rsidRPr="00105BE9">
          <w:rPr>
            <w:rStyle w:val="Hyperlink"/>
          </w:rPr>
          <w:t>MSF.Reform@sa.gov.au</w:t>
        </w:r>
      </w:hyperlink>
      <w:r>
        <w:t xml:space="preserve"> or post </w:t>
      </w:r>
      <w:r w:rsidR="00997973">
        <w:t>to:</w:t>
      </w:r>
    </w:p>
    <w:p w:rsidR="00997973" w:rsidRDefault="00997973" w:rsidP="00997973"/>
    <w:p w:rsidR="00997973" w:rsidRDefault="00997973" w:rsidP="00997973">
      <w:r>
        <w:t>PIRSA Fisheries and Aquaculture</w:t>
      </w:r>
    </w:p>
    <w:p w:rsidR="00997973" w:rsidRDefault="00997973" w:rsidP="00997973">
      <w:r>
        <w:t>GPO Box 16</w:t>
      </w:r>
      <w:r w:rsidR="0029519B">
        <w:t>25</w:t>
      </w:r>
    </w:p>
    <w:p w:rsidR="004F76D8" w:rsidRDefault="00997973" w:rsidP="00997973">
      <w:r>
        <w:t>ADELAIDE SA 5001</w:t>
      </w:r>
    </w:p>
    <w:p w:rsidR="008F6252" w:rsidRDefault="008F6252" w:rsidP="00997973"/>
    <w:p w:rsidR="008F6252" w:rsidRDefault="008F6252" w:rsidP="00997973">
      <w:r>
        <w:rPr>
          <w:rFonts w:cs="Arial"/>
        </w:rPr>
        <w:t>PIRSA will also undertake regional site visits in late August</w:t>
      </w:r>
      <w:r w:rsidR="00BD400F">
        <w:rPr>
          <w:rFonts w:cs="Arial"/>
        </w:rPr>
        <w:t xml:space="preserve"> and early September</w:t>
      </w:r>
      <w:r>
        <w:rPr>
          <w:rFonts w:cs="Arial"/>
        </w:rPr>
        <w:t xml:space="preserve"> to enable individual licence holders to provide direct feedback. Further information on these visits will be provided to licence holders.</w:t>
      </w:r>
    </w:p>
    <w:p w:rsidR="0048526C" w:rsidRDefault="0048526C">
      <w:pPr>
        <w:spacing w:line="240" w:lineRule="auto"/>
        <w:rPr>
          <w:rFonts w:eastAsiaTheme="majorEastAsia" w:cstheme="majorBidi"/>
          <w:b/>
          <w:bCs/>
          <w:color w:val="00427A"/>
          <w:kern w:val="40"/>
          <w:sz w:val="40"/>
          <w:szCs w:val="48"/>
          <w:lang w:val="en-US" w:eastAsia="ja-JP"/>
        </w:rPr>
      </w:pPr>
      <w:bookmarkStart w:id="47" w:name="_Toc47284568"/>
      <w:r>
        <w:br w:type="page"/>
      </w:r>
    </w:p>
    <w:p w:rsidR="00856AED" w:rsidRDefault="00856AED" w:rsidP="00C70060">
      <w:pPr>
        <w:pStyle w:val="Heading1"/>
      </w:pPr>
      <w:bookmarkStart w:id="48" w:name="_Toc48141155"/>
      <w:r w:rsidRPr="00856AED">
        <w:lastRenderedPageBreak/>
        <w:t>Next steps</w:t>
      </w:r>
      <w:bookmarkEnd w:id="47"/>
      <w:bookmarkEnd w:id="48"/>
      <w:r w:rsidRPr="00856AED">
        <w:t xml:space="preserve"> </w:t>
      </w:r>
    </w:p>
    <w:p w:rsidR="00CD5522" w:rsidRDefault="00B0739E" w:rsidP="00C70060">
      <w:pPr>
        <w:rPr>
          <w:lang w:val="en-GB"/>
        </w:rPr>
      </w:pPr>
      <w:r>
        <w:t>In October 2020</w:t>
      </w:r>
      <w:r w:rsidR="001D7461">
        <w:t>,</w:t>
      </w:r>
      <w:r>
        <w:t xml:space="preserve"> the Minister will make decisions about the matters </w:t>
      </w:r>
      <w:r w:rsidR="007204DA">
        <w:t>addressed in</w:t>
      </w:r>
      <w:r>
        <w:t xml:space="preserve"> </w:t>
      </w:r>
      <w:r w:rsidR="007204DA">
        <w:t xml:space="preserve">the </w:t>
      </w:r>
      <w:r w:rsidR="00BD400F">
        <w:t>Stage 1 and S</w:t>
      </w:r>
      <w:r>
        <w:t>tage 2 information released as part of the MSF reform consultation process with industry</w:t>
      </w:r>
      <w:r w:rsidR="00BD400F">
        <w:t>,</w:t>
      </w:r>
      <w:r w:rsidR="00CD5522">
        <w:t xml:space="preserve"> including </w:t>
      </w:r>
      <w:r>
        <w:rPr>
          <w:lang w:val="en-GB"/>
        </w:rPr>
        <w:t>the method for allocating ITQs of priority species</w:t>
      </w:r>
      <w:r w:rsidR="00CD5522">
        <w:rPr>
          <w:lang w:val="en-GB"/>
        </w:rPr>
        <w:t xml:space="preserve">. </w:t>
      </w:r>
    </w:p>
    <w:p w:rsidR="00CD5522" w:rsidRDefault="00CD5522" w:rsidP="00C70060">
      <w:pPr>
        <w:rPr>
          <w:lang w:val="en-GB"/>
        </w:rPr>
      </w:pPr>
    </w:p>
    <w:p w:rsidR="00B0739E" w:rsidRDefault="00CD5522" w:rsidP="00C70060">
      <w:r w:rsidRPr="00345A88">
        <w:rPr>
          <w:lang w:val="en-GB"/>
        </w:rPr>
        <w:t>A</w:t>
      </w:r>
      <w:r w:rsidR="00B0739E" w:rsidRPr="00345A88">
        <w:rPr>
          <w:lang w:val="en-GB"/>
        </w:rPr>
        <w:t xml:space="preserve">n </w:t>
      </w:r>
      <w:r w:rsidR="00B0739E" w:rsidRPr="00817DE4">
        <w:rPr>
          <w:lang w:val="en-GB"/>
        </w:rPr>
        <w:t xml:space="preserve">‘exceptional circumstances’ process will </w:t>
      </w:r>
      <w:r w:rsidRPr="00817DE4">
        <w:rPr>
          <w:lang w:val="en-GB"/>
        </w:rPr>
        <w:t>commence on 1 November 2020 for those fishers who feel the allocation formula did not adequately take into account their circumstances.</w:t>
      </w:r>
      <w:r>
        <w:rPr>
          <w:lang w:val="en-GB"/>
        </w:rPr>
        <w:t xml:space="preserve"> </w:t>
      </w:r>
    </w:p>
    <w:p w:rsidR="00856AED" w:rsidRDefault="00856AED" w:rsidP="00C70060"/>
    <w:p w:rsidR="00856AED" w:rsidRDefault="00856AED" w:rsidP="00C70060">
      <w:r w:rsidRPr="00856AED">
        <w:t xml:space="preserve">Offers for the </w:t>
      </w:r>
      <w:r w:rsidR="001D7461">
        <w:t>V</w:t>
      </w:r>
      <w:r w:rsidRPr="00856AED">
        <w:t xml:space="preserve">oluntary </w:t>
      </w:r>
      <w:r w:rsidR="001D7461">
        <w:t>L</w:t>
      </w:r>
      <w:r w:rsidRPr="00856AED">
        <w:t xml:space="preserve">icence </w:t>
      </w:r>
      <w:r w:rsidR="001D7461">
        <w:t>Surrender P</w:t>
      </w:r>
      <w:r w:rsidRPr="00856AED">
        <w:t xml:space="preserve">rogram must be submitted by </w:t>
      </w:r>
      <w:r w:rsidR="0048526C">
        <w:br/>
      </w:r>
      <w:r w:rsidRPr="00856AED">
        <w:t>13 November 2020</w:t>
      </w:r>
      <w:r w:rsidR="00B0739E">
        <w:t>, noting that</w:t>
      </w:r>
      <w:r w:rsidR="00B0739E">
        <w:rPr>
          <w:rFonts w:eastAsia="Times New Roman" w:cs="Arial"/>
          <w:szCs w:val="22"/>
          <w:lang w:eastAsia="en-AU"/>
        </w:rPr>
        <w:t xml:space="preserve"> the program will close earlier if the</w:t>
      </w:r>
      <w:r w:rsidR="00B0739E" w:rsidRPr="00010F1E">
        <w:rPr>
          <w:rFonts w:eastAsia="Times New Roman" w:cs="Arial"/>
          <w:szCs w:val="22"/>
          <w:lang w:eastAsia="en-AU"/>
        </w:rPr>
        <w:t xml:space="preserve"> funds allocated for this purpose are exhausted</w:t>
      </w:r>
      <w:r w:rsidR="00B0739E">
        <w:rPr>
          <w:rFonts w:eastAsia="Times New Roman" w:cs="Arial"/>
          <w:szCs w:val="22"/>
          <w:lang w:eastAsia="en-AU"/>
        </w:rPr>
        <w:t xml:space="preserve"> before this time</w:t>
      </w:r>
      <w:r w:rsidRPr="00856AED">
        <w:t xml:space="preserve">. </w:t>
      </w:r>
    </w:p>
    <w:p w:rsidR="00CE0999" w:rsidRDefault="00CE0999" w:rsidP="00C70060"/>
    <w:tbl>
      <w:tblPr>
        <w:tblStyle w:val="TableGrid"/>
        <w:tblW w:w="8637" w:type="dxa"/>
        <w:tblLook w:val="04A0" w:firstRow="1" w:lastRow="0" w:firstColumn="1" w:lastColumn="0" w:noHBand="0" w:noVBand="1"/>
      </w:tblPr>
      <w:tblGrid>
        <w:gridCol w:w="2271"/>
        <w:gridCol w:w="6366"/>
      </w:tblGrid>
      <w:tr w:rsidR="00976BB0" w:rsidRPr="00976BB0" w:rsidTr="00D47287">
        <w:tc>
          <w:tcPr>
            <w:tcW w:w="2271" w:type="dxa"/>
          </w:tcPr>
          <w:p w:rsidR="00976BB0" w:rsidRPr="00455BED" w:rsidRDefault="00976BB0" w:rsidP="00C70060">
            <w:pPr>
              <w:rPr>
                <w:b/>
              </w:rPr>
            </w:pPr>
            <w:r w:rsidRPr="00455BED">
              <w:rPr>
                <w:b/>
              </w:rPr>
              <w:t>DATE</w:t>
            </w:r>
          </w:p>
        </w:tc>
        <w:tc>
          <w:tcPr>
            <w:tcW w:w="6366" w:type="dxa"/>
          </w:tcPr>
          <w:p w:rsidR="00976BB0" w:rsidRPr="00455BED" w:rsidRDefault="00976BB0" w:rsidP="00C70060">
            <w:pPr>
              <w:rPr>
                <w:b/>
              </w:rPr>
            </w:pPr>
            <w:r w:rsidRPr="00455BED">
              <w:rPr>
                <w:b/>
              </w:rPr>
              <w:t>ACTION</w:t>
            </w:r>
          </w:p>
        </w:tc>
      </w:tr>
      <w:tr w:rsidR="00976BB0" w:rsidTr="00D47287">
        <w:tc>
          <w:tcPr>
            <w:tcW w:w="2271" w:type="dxa"/>
          </w:tcPr>
          <w:p w:rsidR="00976BB0" w:rsidRDefault="00976BB0" w:rsidP="000E3B13">
            <w:r>
              <w:t>25 May 2020</w:t>
            </w:r>
          </w:p>
        </w:tc>
        <w:tc>
          <w:tcPr>
            <w:tcW w:w="6366" w:type="dxa"/>
          </w:tcPr>
          <w:p w:rsidR="00976BB0" w:rsidRDefault="00976BB0" w:rsidP="00AE36F4">
            <w:r>
              <w:t xml:space="preserve">Voluntary </w:t>
            </w:r>
            <w:proofErr w:type="spellStart"/>
            <w:r w:rsidR="00AE36F4">
              <w:t>Licence</w:t>
            </w:r>
            <w:proofErr w:type="spellEnd"/>
            <w:r w:rsidR="00AE36F4">
              <w:t xml:space="preserve"> S</w:t>
            </w:r>
            <w:r>
              <w:t>urrender</w:t>
            </w:r>
            <w:r w:rsidR="00AE36F4">
              <w:t xml:space="preserve"> Program</w:t>
            </w:r>
            <w:r>
              <w:t xml:space="preserve"> commenced</w:t>
            </w:r>
          </w:p>
        </w:tc>
      </w:tr>
      <w:tr w:rsidR="00CE0999" w:rsidTr="00D47287">
        <w:tc>
          <w:tcPr>
            <w:tcW w:w="2271" w:type="dxa"/>
            <w:shd w:val="clear" w:color="auto" w:fill="auto"/>
          </w:tcPr>
          <w:p w:rsidR="00CE0999" w:rsidRPr="00536B89" w:rsidRDefault="00753793" w:rsidP="00C70060">
            <w:r w:rsidRPr="009F39CA">
              <w:t>23</w:t>
            </w:r>
            <w:r w:rsidRPr="00536B89">
              <w:t xml:space="preserve"> </w:t>
            </w:r>
            <w:r w:rsidR="00CE0999" w:rsidRPr="00536B89">
              <w:t>June</w:t>
            </w:r>
            <w:r w:rsidRPr="009F39CA">
              <w:t xml:space="preserve"> 2020</w:t>
            </w:r>
          </w:p>
        </w:tc>
        <w:tc>
          <w:tcPr>
            <w:tcW w:w="6366" w:type="dxa"/>
          </w:tcPr>
          <w:p w:rsidR="00CE0999" w:rsidRDefault="00932BEF" w:rsidP="00C70060">
            <w:r>
              <w:t>Stage</w:t>
            </w:r>
            <w:r w:rsidR="00CE0999">
              <w:t xml:space="preserve"> 1 information release</w:t>
            </w:r>
          </w:p>
        </w:tc>
      </w:tr>
      <w:tr w:rsidR="00CE0999" w:rsidTr="00D47287">
        <w:tc>
          <w:tcPr>
            <w:tcW w:w="2271" w:type="dxa"/>
            <w:shd w:val="clear" w:color="auto" w:fill="auto"/>
          </w:tcPr>
          <w:p w:rsidR="00CE0999" w:rsidRPr="00536B89" w:rsidRDefault="00F07827" w:rsidP="001C5C93">
            <w:r>
              <w:t>13</w:t>
            </w:r>
            <w:r w:rsidR="00E43839" w:rsidRPr="00536B89">
              <w:t xml:space="preserve"> </w:t>
            </w:r>
            <w:r w:rsidR="00CE0999" w:rsidRPr="00536B89">
              <w:t xml:space="preserve">August </w:t>
            </w:r>
            <w:r w:rsidR="00753793" w:rsidRPr="009F39CA">
              <w:t>2020</w:t>
            </w:r>
          </w:p>
        </w:tc>
        <w:tc>
          <w:tcPr>
            <w:tcW w:w="6366" w:type="dxa"/>
          </w:tcPr>
          <w:p w:rsidR="00CE0999" w:rsidRDefault="00932BEF" w:rsidP="00C70060">
            <w:r>
              <w:t>Stage</w:t>
            </w:r>
            <w:r w:rsidR="00CE0999">
              <w:t xml:space="preserve"> 2 information release: </w:t>
            </w:r>
          </w:p>
          <w:p w:rsidR="0032253C" w:rsidRDefault="0032253C" w:rsidP="0032253C">
            <w:pPr>
              <w:numPr>
                <w:ilvl w:val="0"/>
                <w:numId w:val="9"/>
              </w:numPr>
              <w:spacing w:before="120"/>
              <w:ind w:left="567" w:hanging="357"/>
            </w:pPr>
            <w:r w:rsidRPr="00936289">
              <w:t xml:space="preserve">proposed method of allocating </w:t>
            </w:r>
            <w:r>
              <w:t xml:space="preserve">ITQ </w:t>
            </w:r>
            <w:r w:rsidRPr="00936289">
              <w:t xml:space="preserve">units to </w:t>
            </w:r>
            <w:proofErr w:type="spellStart"/>
            <w:r w:rsidRPr="00936289">
              <w:t>licence</w:t>
            </w:r>
            <w:proofErr w:type="spellEnd"/>
            <w:r w:rsidRPr="00936289">
              <w:t xml:space="preserve"> holders</w:t>
            </w:r>
          </w:p>
          <w:p w:rsidR="0032253C" w:rsidRDefault="0032253C" w:rsidP="0032253C">
            <w:pPr>
              <w:numPr>
                <w:ilvl w:val="0"/>
                <w:numId w:val="9"/>
              </w:numPr>
              <w:spacing w:before="120"/>
              <w:ind w:left="567" w:hanging="357"/>
              <w:contextualSpacing/>
            </w:pPr>
            <w:r w:rsidRPr="00936289">
              <w:t>a compliance program to ensure integrity of the quota management system</w:t>
            </w:r>
          </w:p>
          <w:p w:rsidR="0032253C" w:rsidRDefault="0032253C" w:rsidP="0032253C">
            <w:pPr>
              <w:numPr>
                <w:ilvl w:val="0"/>
                <w:numId w:val="9"/>
              </w:numPr>
              <w:spacing w:before="120"/>
              <w:ind w:left="567" w:hanging="357"/>
              <w:contextualSpacing/>
            </w:pPr>
            <w:r>
              <w:t>a</w:t>
            </w:r>
            <w:r w:rsidRPr="00936289">
              <w:t xml:space="preserve"> research program </w:t>
            </w:r>
            <w:r>
              <w:t>to support ecologically sustainable</w:t>
            </w:r>
            <w:r w:rsidRPr="00936289">
              <w:t xml:space="preserve"> management </w:t>
            </w:r>
            <w:r>
              <w:t xml:space="preserve">of the fishery under a new management </w:t>
            </w:r>
            <w:r w:rsidRPr="00936289">
              <w:t>framework</w:t>
            </w:r>
            <w:r>
              <w:t xml:space="preserve"> </w:t>
            </w:r>
          </w:p>
          <w:p w:rsidR="0032253C" w:rsidRDefault="0032253C" w:rsidP="0032253C">
            <w:pPr>
              <w:numPr>
                <w:ilvl w:val="0"/>
                <w:numId w:val="9"/>
              </w:numPr>
              <w:spacing w:before="120"/>
              <w:ind w:left="567" w:hanging="357"/>
              <w:contextualSpacing/>
            </w:pPr>
            <w:r>
              <w:t xml:space="preserve">co-management arrangements </w:t>
            </w:r>
          </w:p>
          <w:p w:rsidR="0032253C" w:rsidRDefault="0032253C" w:rsidP="0032253C">
            <w:pPr>
              <w:numPr>
                <w:ilvl w:val="0"/>
                <w:numId w:val="9"/>
              </w:numPr>
              <w:spacing w:before="120"/>
              <w:ind w:left="567" w:hanging="357"/>
              <w:contextualSpacing/>
            </w:pPr>
            <w:r>
              <w:t>red tape reduction process</w:t>
            </w:r>
          </w:p>
          <w:p w:rsidR="0032253C" w:rsidRDefault="0032253C" w:rsidP="0032253C">
            <w:pPr>
              <w:numPr>
                <w:ilvl w:val="0"/>
                <w:numId w:val="9"/>
              </w:numPr>
              <w:spacing w:before="120"/>
              <w:ind w:left="567" w:hanging="357"/>
              <w:contextualSpacing/>
            </w:pPr>
            <w:r>
              <w:t xml:space="preserve">proposed decisions on key management issues </w:t>
            </w:r>
          </w:p>
          <w:p w:rsidR="00CE0999" w:rsidRPr="00CE0999" w:rsidRDefault="00CE0999" w:rsidP="00133D9E">
            <w:pPr>
              <w:spacing w:before="120"/>
            </w:pPr>
            <w:r w:rsidRPr="00CE0999">
              <w:t>Industry consultation on these proposals begins</w:t>
            </w:r>
          </w:p>
        </w:tc>
      </w:tr>
      <w:tr w:rsidR="00BD400F" w:rsidTr="00D47287">
        <w:tc>
          <w:tcPr>
            <w:tcW w:w="2271" w:type="dxa"/>
          </w:tcPr>
          <w:p w:rsidR="00BD400F" w:rsidRDefault="00BD400F" w:rsidP="00C70060">
            <w:r>
              <w:t>Late August 2020</w:t>
            </w:r>
          </w:p>
        </w:tc>
        <w:tc>
          <w:tcPr>
            <w:tcW w:w="6366" w:type="dxa"/>
          </w:tcPr>
          <w:p w:rsidR="00BD400F" w:rsidRDefault="00BD400F" w:rsidP="00BD400F">
            <w:r>
              <w:t xml:space="preserve">Indicative individual quotas provided to each </w:t>
            </w:r>
            <w:proofErr w:type="spellStart"/>
            <w:r>
              <w:t>licence</w:t>
            </w:r>
            <w:proofErr w:type="spellEnd"/>
            <w:r>
              <w:t xml:space="preserve"> holder</w:t>
            </w:r>
          </w:p>
        </w:tc>
      </w:tr>
      <w:tr w:rsidR="00CE0999" w:rsidTr="00D47287">
        <w:tc>
          <w:tcPr>
            <w:tcW w:w="2271" w:type="dxa"/>
          </w:tcPr>
          <w:p w:rsidR="00CE0999" w:rsidRPr="009F39CA" w:rsidRDefault="009F39CA" w:rsidP="00C70060">
            <w:r>
              <w:t>18 S</w:t>
            </w:r>
            <w:r w:rsidR="00CE0999" w:rsidRPr="009F39CA">
              <w:t>eptember 2020</w:t>
            </w:r>
          </w:p>
        </w:tc>
        <w:tc>
          <w:tcPr>
            <w:tcW w:w="6366" w:type="dxa"/>
          </w:tcPr>
          <w:p w:rsidR="00CE0999" w:rsidRDefault="00CE0999" w:rsidP="00BD400F">
            <w:r>
              <w:t xml:space="preserve">Industry consultation for </w:t>
            </w:r>
            <w:r w:rsidR="00BD400F">
              <w:t>Stage</w:t>
            </w:r>
            <w:r>
              <w:t xml:space="preserve"> 1 and </w:t>
            </w:r>
            <w:r w:rsidR="00BD400F">
              <w:t>Stage</w:t>
            </w:r>
            <w:r>
              <w:t xml:space="preserve"> 2 </w:t>
            </w:r>
            <w:r w:rsidR="00BD400F">
              <w:t xml:space="preserve">information </w:t>
            </w:r>
            <w:r>
              <w:t>ends</w:t>
            </w:r>
          </w:p>
        </w:tc>
      </w:tr>
      <w:tr w:rsidR="00CE0999" w:rsidTr="00D47287">
        <w:tc>
          <w:tcPr>
            <w:tcW w:w="2271" w:type="dxa"/>
          </w:tcPr>
          <w:p w:rsidR="00CE0999" w:rsidRDefault="00CE0999" w:rsidP="00C70060">
            <w:r>
              <w:t>Early October 2020</w:t>
            </w:r>
          </w:p>
        </w:tc>
        <w:tc>
          <w:tcPr>
            <w:tcW w:w="6366" w:type="dxa"/>
          </w:tcPr>
          <w:p w:rsidR="00BD400F" w:rsidRDefault="00CE0999" w:rsidP="00C70060">
            <w:r>
              <w:t xml:space="preserve">Final Ministerial decision about </w:t>
            </w:r>
            <w:r w:rsidR="00BD400F">
              <w:t xml:space="preserve">Stage 1 and Stage 2 </w:t>
            </w:r>
            <w:r>
              <w:t xml:space="preserve">information published </w:t>
            </w:r>
          </w:p>
          <w:p w:rsidR="00CE0999" w:rsidRDefault="00CE0999" w:rsidP="00C70060">
            <w:r>
              <w:t xml:space="preserve">Revised indicative individual quotas provided to each </w:t>
            </w:r>
            <w:proofErr w:type="spellStart"/>
            <w:r>
              <w:t>licence</w:t>
            </w:r>
            <w:proofErr w:type="spellEnd"/>
            <w:r>
              <w:t xml:space="preserve"> holder</w:t>
            </w:r>
          </w:p>
        </w:tc>
      </w:tr>
      <w:tr w:rsidR="00CE0999" w:rsidTr="00D47287">
        <w:tc>
          <w:tcPr>
            <w:tcW w:w="2271" w:type="dxa"/>
          </w:tcPr>
          <w:p w:rsidR="00CE0999" w:rsidRDefault="00CE0999" w:rsidP="00C70060">
            <w:r>
              <w:t>1 November 2020</w:t>
            </w:r>
          </w:p>
        </w:tc>
        <w:tc>
          <w:tcPr>
            <w:tcW w:w="6366" w:type="dxa"/>
          </w:tcPr>
          <w:p w:rsidR="00CE0999" w:rsidRDefault="00CE0999" w:rsidP="00C70060">
            <w:r>
              <w:t>Exceptional circumstances process (previously referred to as ‘appeals’) opens</w:t>
            </w:r>
          </w:p>
        </w:tc>
      </w:tr>
      <w:tr w:rsidR="00CE0999" w:rsidTr="00D47287">
        <w:tc>
          <w:tcPr>
            <w:tcW w:w="2271" w:type="dxa"/>
          </w:tcPr>
          <w:p w:rsidR="00CE0999" w:rsidRDefault="00CE0999" w:rsidP="00C70060">
            <w:r>
              <w:t>13 November 2020</w:t>
            </w:r>
          </w:p>
        </w:tc>
        <w:tc>
          <w:tcPr>
            <w:tcW w:w="6366" w:type="dxa"/>
          </w:tcPr>
          <w:p w:rsidR="00CE0999" w:rsidRDefault="00CE0999" w:rsidP="00C70060">
            <w:r>
              <w:t xml:space="preserve">Offers for the voluntary surrender of </w:t>
            </w:r>
            <w:proofErr w:type="spellStart"/>
            <w:r w:rsidR="00D47F45">
              <w:t>licences</w:t>
            </w:r>
            <w:proofErr w:type="spellEnd"/>
            <w:r>
              <w:t xml:space="preserve"> close</w:t>
            </w:r>
          </w:p>
        </w:tc>
      </w:tr>
      <w:tr w:rsidR="00976BB0" w:rsidTr="00D47287">
        <w:tc>
          <w:tcPr>
            <w:tcW w:w="2271" w:type="dxa"/>
          </w:tcPr>
          <w:p w:rsidR="00976BB0" w:rsidRDefault="00976BB0" w:rsidP="00C70060">
            <w:r>
              <w:t>31 November 2020</w:t>
            </w:r>
          </w:p>
        </w:tc>
        <w:tc>
          <w:tcPr>
            <w:tcW w:w="6366" w:type="dxa"/>
          </w:tcPr>
          <w:p w:rsidR="00976BB0" w:rsidRDefault="00976BB0" w:rsidP="00C70060">
            <w:r>
              <w:t>Application</w:t>
            </w:r>
            <w:r w:rsidR="00AE36F4">
              <w:t>s</w:t>
            </w:r>
            <w:r>
              <w:t xml:space="preserve"> for exceptional circumstances close</w:t>
            </w:r>
          </w:p>
        </w:tc>
      </w:tr>
      <w:tr w:rsidR="00976BB0" w:rsidTr="00D47287">
        <w:tc>
          <w:tcPr>
            <w:tcW w:w="2271" w:type="dxa"/>
          </w:tcPr>
          <w:p w:rsidR="00976BB0" w:rsidRDefault="00976BB0" w:rsidP="00C70060">
            <w:r>
              <w:t>Early 2021</w:t>
            </w:r>
          </w:p>
        </w:tc>
        <w:tc>
          <w:tcPr>
            <w:tcW w:w="6366" w:type="dxa"/>
          </w:tcPr>
          <w:p w:rsidR="00976BB0" w:rsidRDefault="00976BB0" w:rsidP="00976BB0">
            <w:r>
              <w:t>MSF Management Advisory Committee nomination and appointment process</w:t>
            </w:r>
          </w:p>
        </w:tc>
      </w:tr>
      <w:tr w:rsidR="00976BB0" w:rsidTr="00D47287">
        <w:tc>
          <w:tcPr>
            <w:tcW w:w="2271" w:type="dxa"/>
          </w:tcPr>
          <w:p w:rsidR="00976BB0" w:rsidRDefault="00976BB0" w:rsidP="00C70060">
            <w:r>
              <w:t>1 July 2021</w:t>
            </w:r>
          </w:p>
        </w:tc>
        <w:tc>
          <w:tcPr>
            <w:tcW w:w="6366" w:type="dxa"/>
          </w:tcPr>
          <w:p w:rsidR="00976BB0" w:rsidRDefault="00976BB0" w:rsidP="00C70060">
            <w:r>
              <w:t>New management arrangements commence</w:t>
            </w:r>
          </w:p>
        </w:tc>
      </w:tr>
    </w:tbl>
    <w:p w:rsidR="0048526C" w:rsidRDefault="0048526C" w:rsidP="00133D9E">
      <w:pPr>
        <w:rPr>
          <w:rFonts w:eastAsiaTheme="majorEastAsia" w:cstheme="majorBidi"/>
          <w:color w:val="00427A"/>
          <w:kern w:val="40"/>
          <w:sz w:val="40"/>
          <w:szCs w:val="48"/>
          <w:lang w:val="en-US" w:eastAsia="ja-JP"/>
        </w:rPr>
      </w:pPr>
      <w:bookmarkStart w:id="49" w:name="_Toc47284569"/>
    </w:p>
    <w:bookmarkEnd w:id="49"/>
    <w:p w:rsidR="00767993" w:rsidRDefault="00767993" w:rsidP="00C70060">
      <w:pPr>
        <w:spacing w:line="240" w:lineRule="auto"/>
        <w:rPr>
          <w:rFonts w:eastAsiaTheme="majorEastAsia" w:cstheme="majorBidi"/>
          <w:b/>
          <w:bCs/>
          <w:color w:val="00427A"/>
          <w:kern w:val="40"/>
          <w:sz w:val="40"/>
          <w:szCs w:val="48"/>
          <w:lang w:val="en-US" w:eastAsia="ja-JP"/>
        </w:rPr>
      </w:pPr>
    </w:p>
    <w:p w:rsidR="002A568A" w:rsidRDefault="002A568A" w:rsidP="00C70060">
      <w:pPr>
        <w:pStyle w:val="Heading1"/>
      </w:pPr>
      <w:bookmarkStart w:id="50" w:name="_Toc47284570"/>
      <w:bookmarkStart w:id="51" w:name="_Toc48141156"/>
      <w:bookmarkStart w:id="52" w:name="_Ref48220975"/>
      <w:r>
        <w:lastRenderedPageBreak/>
        <w:t xml:space="preserve">Appendix A: Report of the Independent Allocation Advisory Panel </w:t>
      </w:r>
      <w:r w:rsidR="0025296B">
        <w:t xml:space="preserve">(IAAP) </w:t>
      </w:r>
      <w:r>
        <w:t xml:space="preserve">on priority species in the Marine </w:t>
      </w:r>
      <w:proofErr w:type="spellStart"/>
      <w:r>
        <w:t>Scalefish</w:t>
      </w:r>
      <w:proofErr w:type="spellEnd"/>
      <w:r>
        <w:t xml:space="preserve"> Fishery</w:t>
      </w:r>
      <w:bookmarkEnd w:id="50"/>
      <w:bookmarkEnd w:id="51"/>
      <w:bookmarkEnd w:id="52"/>
      <w:r>
        <w:t xml:space="preserve">  </w:t>
      </w:r>
    </w:p>
    <w:p w:rsidR="00EE1FAD" w:rsidRDefault="00EE1FAD" w:rsidP="00992AEA"/>
    <w:p w:rsidR="00CD5522" w:rsidRPr="00CA062D" w:rsidRDefault="0025296B" w:rsidP="00455BED">
      <w:r>
        <w:rPr>
          <w:lang w:val="en-US" w:eastAsia="ja-JP"/>
        </w:rPr>
        <w:t xml:space="preserve">A copy of the IAAP’s report can be accessed here: </w:t>
      </w:r>
      <w:hyperlink r:id="rId22" w:history="1">
        <w:r w:rsidR="00CA062D">
          <w:rPr>
            <w:rStyle w:val="Hyperlink"/>
            <w:lang w:val="en-US" w:eastAsia="ja-JP"/>
          </w:rPr>
          <w:t>www.pir.sa.gov.au/?a=368967</w:t>
        </w:r>
      </w:hyperlink>
      <w:r w:rsidR="00CA062D">
        <w:rPr>
          <w:lang w:val="en-US" w:eastAsia="ja-JP"/>
        </w:rPr>
        <w:t xml:space="preserve"> </w:t>
      </w:r>
    </w:p>
    <w:bookmarkEnd w:id="0"/>
    <w:p w:rsidR="00F43AE8" w:rsidRPr="008940C0" w:rsidRDefault="00F43AE8" w:rsidP="00F43AE8">
      <w:pPr>
        <w:spacing w:before="480" w:after="240" w:line="390" w:lineRule="exact"/>
        <w:rPr>
          <w:sz w:val="30"/>
          <w:szCs w:val="30"/>
        </w:rPr>
      </w:pPr>
      <w:r w:rsidRPr="008940C0">
        <w:rPr>
          <w:rFonts w:cs="Times New Roman (Body CS)"/>
          <w:b/>
          <w:bCs/>
          <w:color w:val="00427A"/>
          <w:sz w:val="30"/>
          <w:szCs w:val="30"/>
        </w:rPr>
        <w:t>All Enquiries</w:t>
      </w:r>
    </w:p>
    <w:p w:rsidR="0048526C" w:rsidRDefault="0048526C" w:rsidP="0048526C">
      <w:r w:rsidRPr="00856AED">
        <w:t xml:space="preserve">If you have any questions on the </w:t>
      </w:r>
      <w:r>
        <w:t xml:space="preserve">MSF </w:t>
      </w:r>
      <w:r w:rsidRPr="00856AED">
        <w:t xml:space="preserve">reform process, please contact: </w:t>
      </w:r>
    </w:p>
    <w:p w:rsidR="0048526C" w:rsidRDefault="0048526C" w:rsidP="0048526C"/>
    <w:p w:rsidR="0048526C" w:rsidRDefault="009B3F51" w:rsidP="0048526C">
      <w:r>
        <w:t>Fisheries and Aquaculture</w:t>
      </w:r>
      <w:r w:rsidRPr="00A604AA">
        <w:br/>
        <w:t>Primary Industrie</w:t>
      </w:r>
      <w:r>
        <w:t>s and Regions SA (PIRSA</w:t>
      </w:r>
      <w:proofErr w:type="gramStart"/>
      <w:r>
        <w:t>)</w:t>
      </w:r>
      <w:proofErr w:type="gramEnd"/>
      <w:r>
        <w:br/>
        <w:t>GPO Box 1625</w:t>
      </w:r>
      <w:r w:rsidRPr="00A604AA">
        <w:t>, Adelaide SA 5001</w:t>
      </w:r>
      <w:r w:rsidRPr="00A604AA">
        <w:br/>
      </w:r>
      <w:r w:rsidR="0048526C" w:rsidRPr="00856AED">
        <w:t>Email: MSF.Reform@sa.gov.au</w:t>
      </w:r>
      <w:r w:rsidR="0048526C">
        <w:t xml:space="preserve"> </w:t>
      </w:r>
      <w:r w:rsidR="0048526C" w:rsidRPr="00856AED">
        <w:t xml:space="preserve"> </w:t>
      </w:r>
      <w:r w:rsidR="0048526C">
        <w:t xml:space="preserve"> </w:t>
      </w:r>
    </w:p>
    <w:p w:rsidR="0048526C" w:rsidRDefault="0048526C" w:rsidP="0048526C"/>
    <w:p w:rsidR="0048526C" w:rsidRPr="00133D9E" w:rsidRDefault="0048526C" w:rsidP="0048526C">
      <w:pPr>
        <w:rPr>
          <w:b/>
        </w:rPr>
      </w:pPr>
      <w:r w:rsidRPr="00133D9E">
        <w:rPr>
          <w:b/>
        </w:rPr>
        <w:t xml:space="preserve">Jon Presser </w:t>
      </w:r>
    </w:p>
    <w:p w:rsidR="0048526C" w:rsidRDefault="0048526C" w:rsidP="0048526C">
      <w:r w:rsidRPr="00856AED">
        <w:t xml:space="preserve">Manager Fisheries Reform </w:t>
      </w:r>
    </w:p>
    <w:p w:rsidR="0048526C" w:rsidRDefault="0048526C" w:rsidP="0048526C">
      <w:r w:rsidRPr="00856AED">
        <w:t xml:space="preserve">Phone: (08) 8429 0588 </w:t>
      </w:r>
    </w:p>
    <w:p w:rsidR="0048526C" w:rsidRDefault="0048526C" w:rsidP="0048526C"/>
    <w:p w:rsidR="0048526C" w:rsidRPr="00133D9E" w:rsidRDefault="0048526C" w:rsidP="0048526C">
      <w:pPr>
        <w:rPr>
          <w:b/>
        </w:rPr>
      </w:pPr>
      <w:r w:rsidRPr="00133D9E">
        <w:rPr>
          <w:b/>
        </w:rPr>
        <w:t xml:space="preserve">Alice Fistr </w:t>
      </w:r>
    </w:p>
    <w:p w:rsidR="0048526C" w:rsidRDefault="0048526C" w:rsidP="0048526C">
      <w:r w:rsidRPr="00856AED">
        <w:t xml:space="preserve">Senior Adviser Fisheries Reform </w:t>
      </w:r>
    </w:p>
    <w:p w:rsidR="0048526C" w:rsidRDefault="0048526C" w:rsidP="0048526C">
      <w:r w:rsidRPr="00856AED">
        <w:t xml:space="preserve">Phone: (08) 8429 3565 </w:t>
      </w:r>
    </w:p>
    <w:p w:rsidR="0048526C" w:rsidRDefault="0048526C" w:rsidP="0048526C"/>
    <w:p w:rsidR="0048526C" w:rsidRPr="00732399" w:rsidRDefault="0048526C" w:rsidP="0048526C">
      <w:r w:rsidRPr="00856AED">
        <w:t xml:space="preserve">For more information visit </w:t>
      </w:r>
      <w:hyperlink r:id="rId23" w:history="1">
        <w:r w:rsidRPr="002623EB">
          <w:rPr>
            <w:rStyle w:val="Hyperlink"/>
          </w:rPr>
          <w:t>www.pir.sa.gov.au/fishingreform</w:t>
        </w:r>
      </w:hyperlink>
      <w:r>
        <w:t xml:space="preserve"> </w:t>
      </w:r>
    </w:p>
    <w:p w:rsidR="0048526C" w:rsidRDefault="0048526C" w:rsidP="0048526C"/>
    <w:p w:rsidR="00F43AE8" w:rsidRDefault="00F43AE8" w:rsidP="00F43AE8">
      <w:pPr>
        <w:spacing w:line="240" w:lineRule="auto"/>
      </w:pPr>
    </w:p>
    <w:bookmarkEnd w:id="2"/>
    <w:bookmarkEnd w:id="1"/>
    <w:p w:rsidR="009B3F51" w:rsidRDefault="009B3F51" w:rsidP="009B3F51">
      <w:pPr>
        <w:rPr>
          <w:rFonts w:cs="Times New Roman (Body CS)"/>
          <w:b/>
          <w:bCs/>
          <w:color w:val="00427A"/>
          <w:sz w:val="30"/>
          <w:szCs w:val="30"/>
        </w:rPr>
      </w:pPr>
    </w:p>
    <w:p w:rsidR="009B3F51" w:rsidRDefault="009B3F51" w:rsidP="009B3F51">
      <w:pPr>
        <w:rPr>
          <w:rFonts w:cs="Times New Roman (Body CS)"/>
          <w:b/>
          <w:bCs/>
          <w:color w:val="00427A"/>
          <w:sz w:val="20"/>
          <w:szCs w:val="20"/>
        </w:rPr>
      </w:pPr>
    </w:p>
    <w:p w:rsidR="009B3F51" w:rsidRDefault="009B3F51" w:rsidP="009B3F51">
      <w:pPr>
        <w:rPr>
          <w:rFonts w:cs="Times New Roman (Body CS)"/>
          <w:b/>
          <w:bCs/>
          <w:color w:val="00427A"/>
          <w:sz w:val="20"/>
          <w:szCs w:val="20"/>
        </w:rPr>
      </w:pPr>
    </w:p>
    <w:p w:rsidR="009B3F51" w:rsidRDefault="009B3F51" w:rsidP="009B3F51">
      <w:pPr>
        <w:rPr>
          <w:rFonts w:cs="Times New Roman (Body CS)"/>
          <w:b/>
          <w:bCs/>
          <w:color w:val="00427A"/>
          <w:sz w:val="20"/>
          <w:szCs w:val="20"/>
        </w:rPr>
      </w:pPr>
    </w:p>
    <w:p w:rsidR="009B3F51" w:rsidRDefault="009B3F51" w:rsidP="009B3F51">
      <w:pPr>
        <w:rPr>
          <w:rFonts w:cs="Times New Roman (Body CS)"/>
          <w:b/>
          <w:bCs/>
          <w:color w:val="00427A"/>
          <w:sz w:val="20"/>
          <w:szCs w:val="20"/>
        </w:rPr>
      </w:pPr>
    </w:p>
    <w:p w:rsidR="009B3F51" w:rsidRPr="00133D9E" w:rsidRDefault="009B3F51" w:rsidP="009B3F51">
      <w:pPr>
        <w:rPr>
          <w:rFonts w:cs="Times New Roman (Body CS)"/>
          <w:b/>
          <w:bCs/>
          <w:color w:val="00427A"/>
          <w:sz w:val="20"/>
          <w:szCs w:val="20"/>
        </w:rPr>
      </w:pPr>
      <w:r w:rsidRPr="00133D9E">
        <w:rPr>
          <w:rFonts w:cs="Times New Roman (Body CS)"/>
          <w:b/>
          <w:bCs/>
          <w:color w:val="00427A"/>
          <w:sz w:val="20"/>
          <w:szCs w:val="20"/>
        </w:rPr>
        <w:t xml:space="preserve">Marine </w:t>
      </w:r>
      <w:proofErr w:type="spellStart"/>
      <w:r w:rsidRPr="00133D9E">
        <w:rPr>
          <w:rFonts w:cs="Times New Roman (Body CS)"/>
          <w:b/>
          <w:bCs/>
          <w:color w:val="00427A"/>
          <w:sz w:val="20"/>
          <w:szCs w:val="20"/>
        </w:rPr>
        <w:t>Scalefish</w:t>
      </w:r>
      <w:proofErr w:type="spellEnd"/>
      <w:r w:rsidRPr="00133D9E">
        <w:rPr>
          <w:rFonts w:cs="Times New Roman (Body CS)"/>
          <w:b/>
          <w:bCs/>
          <w:color w:val="00427A"/>
          <w:sz w:val="20"/>
          <w:szCs w:val="20"/>
        </w:rPr>
        <w:t xml:space="preserve"> Fishery Reform – Stage 2 Information</w:t>
      </w:r>
    </w:p>
    <w:p w:rsidR="009B3F51" w:rsidRPr="00133D9E" w:rsidRDefault="009B3F51" w:rsidP="009B3F51">
      <w:pPr>
        <w:rPr>
          <w:sz w:val="20"/>
          <w:szCs w:val="20"/>
        </w:rPr>
      </w:pPr>
      <w:r w:rsidRPr="00133D9E">
        <w:rPr>
          <w:sz w:val="20"/>
          <w:szCs w:val="20"/>
        </w:rPr>
        <w:t>Information current as of August 2020</w:t>
      </w:r>
    </w:p>
    <w:p w:rsidR="009B3F51" w:rsidRPr="00133D9E" w:rsidRDefault="009B3F51" w:rsidP="009B3F51">
      <w:pPr>
        <w:rPr>
          <w:sz w:val="20"/>
          <w:szCs w:val="20"/>
        </w:rPr>
      </w:pPr>
      <w:r w:rsidRPr="00133D9E">
        <w:rPr>
          <w:sz w:val="20"/>
          <w:szCs w:val="20"/>
        </w:rPr>
        <w:t>© Government of South Australia 2020</w:t>
      </w:r>
    </w:p>
    <w:p w:rsidR="009B3F51" w:rsidRPr="00133D9E" w:rsidRDefault="009B3F51" w:rsidP="009B3F51">
      <w:pPr>
        <w:rPr>
          <w:sz w:val="20"/>
          <w:szCs w:val="20"/>
        </w:rPr>
      </w:pPr>
    </w:p>
    <w:p w:rsidR="009B3F51" w:rsidRPr="00133D9E" w:rsidRDefault="009B3F51" w:rsidP="009B3F51">
      <w:pPr>
        <w:spacing w:before="240"/>
        <w:rPr>
          <w:b/>
          <w:bCs/>
          <w:sz w:val="20"/>
          <w:szCs w:val="20"/>
        </w:rPr>
      </w:pPr>
      <w:r w:rsidRPr="00133D9E">
        <w:rPr>
          <w:b/>
          <w:bCs/>
          <w:sz w:val="20"/>
          <w:szCs w:val="20"/>
        </w:rPr>
        <w:t>Disclaimer</w:t>
      </w:r>
    </w:p>
    <w:p w:rsidR="009B3F51" w:rsidRPr="00133D9E" w:rsidRDefault="009B3F51" w:rsidP="009B3F51">
      <w:pPr>
        <w:spacing w:before="120"/>
        <w:rPr>
          <w:sz w:val="20"/>
          <w:szCs w:val="20"/>
        </w:rPr>
      </w:pPr>
      <w:r w:rsidRPr="00133D9E">
        <w:rPr>
          <w:sz w:val="20"/>
          <w:szCs w:val="20"/>
        </w:rPr>
        <w:t>PIRSA and its employees do not warrant or make any representation regarding the use, or results of the use, of the information contained herein as regards to its correctness, accuracy, reliability and currency or otherwise. PIRSA and its employees expressly disclaim all liability or responsibility to any person using the information or advice.</w:t>
      </w:r>
    </w:p>
    <w:p w:rsidR="00567E4E" w:rsidRPr="00B2037C" w:rsidRDefault="00567E4E" w:rsidP="00C70060">
      <w:pPr>
        <w:pStyle w:val="BodyText"/>
      </w:pPr>
    </w:p>
    <w:sectPr w:rsidR="00567E4E" w:rsidRPr="00B2037C" w:rsidSect="00572B67">
      <w:footerReference w:type="default" r:id="rId24"/>
      <w:headerReference w:type="first" r:id="rId25"/>
      <w:type w:val="continuous"/>
      <w:pgSz w:w="11900" w:h="16840"/>
      <w:pgMar w:top="1418" w:right="1701" w:bottom="1276" w:left="1701" w:header="28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7AB" w:rsidRDefault="003C07AB" w:rsidP="00CB0DB5">
      <w:r>
        <w:separator/>
      </w:r>
    </w:p>
  </w:endnote>
  <w:endnote w:type="continuationSeparator" w:id="0">
    <w:p w:rsidR="003C07AB" w:rsidRDefault="003C07AB" w:rsidP="00CB0DB5">
      <w:r>
        <w:continuationSeparator/>
      </w:r>
    </w:p>
  </w:endnote>
  <w:endnote w:type="continuationNotice" w:id="1">
    <w:p w:rsidR="003C07AB" w:rsidRDefault="003C07A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old">
    <w:panose1 w:val="020B0704020202020204"/>
    <w:charset w:val="00"/>
    <w:family w:val="auto"/>
    <w:pitch w:val="default"/>
    <w:sig w:usb0="00000003" w:usb1="00000000" w:usb2="00000000" w:usb3="00000000" w:csb0="00000001" w:csb1="00000000"/>
  </w:font>
  <w:font w:name="Times New Roman (Body CS)">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53C" w:rsidRPr="00ED12D0" w:rsidRDefault="0032253C" w:rsidP="00567E4E">
    <w:pPr>
      <w:spacing w:after="40"/>
      <w:jc w:val="center"/>
      <w:rPr>
        <w:sz w:val="20"/>
        <w:szCs w:val="20"/>
      </w:rPr>
    </w:pPr>
    <w:r>
      <w:rPr>
        <w:rStyle w:val="PageNumber"/>
        <w:sz w:val="20"/>
        <w:szCs w:val="20"/>
      </w:rPr>
      <w:fldChar w:fldCharType="begin"/>
    </w:r>
    <w:r>
      <w:rPr>
        <w:rStyle w:val="PageNumber"/>
        <w:sz w:val="20"/>
        <w:szCs w:val="20"/>
      </w:rPr>
      <w:instrText xml:space="preserve"> PAGE  \* roman </w:instrText>
    </w:r>
    <w:r>
      <w:rPr>
        <w:rStyle w:val="PageNumber"/>
        <w:sz w:val="20"/>
        <w:szCs w:val="20"/>
      </w:rPr>
      <w:fldChar w:fldCharType="separate"/>
    </w:r>
    <w:r>
      <w:rPr>
        <w:rStyle w:val="PageNumber"/>
        <w:noProof/>
        <w:sz w:val="20"/>
        <w:szCs w:val="20"/>
      </w:rPr>
      <w:t>xxi</w:t>
    </w:r>
    <w:r>
      <w:rPr>
        <w:rStyle w:val="PageNumber"/>
        <w:sz w:val="20"/>
        <w:szCs w:val="20"/>
      </w:rPr>
      <w:fldChar w:fldCharType="end"/>
    </w:r>
  </w:p>
  <w:p w:rsidR="0032253C" w:rsidRDefault="0032253C" w:rsidP="00ED12D0">
    <w:pPr>
      <w:tabs>
        <w:tab w:val="left" w:pos="3488"/>
      </w:tabs>
    </w:pPr>
    <w:r>
      <w:t xml:space="preserve">Objective ID: </w:t>
    </w:r>
    <w:r w:rsidR="003C07AB">
      <w:fldChar w:fldCharType="begin"/>
    </w:r>
    <w:r w:rsidR="003C07AB">
      <w:instrText xml:space="preserve"> docproperty "objective-id"\* MERGEFORMAT </w:instrText>
    </w:r>
    <w:r w:rsidR="003C07AB">
      <w:fldChar w:fldCharType="separate"/>
    </w:r>
    <w:r w:rsidR="00A71297">
      <w:t>A4547534</w:t>
    </w:r>
    <w:r w:rsidR="003C07A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53C" w:rsidRDefault="0032253C">
    <w:pPr>
      <w:pStyle w:val="Footer"/>
    </w:pPr>
    <w:r>
      <w:t xml:space="preserve">Objective ID: </w:t>
    </w:r>
    <w:r w:rsidR="003C07AB">
      <w:fldChar w:fldCharType="begin"/>
    </w:r>
    <w:r w:rsidR="003C07AB">
      <w:instrText xml:space="preserve"> docproperty "objective-id"\* MERGEFORMAT </w:instrText>
    </w:r>
    <w:r w:rsidR="003C07AB">
      <w:fldChar w:fldCharType="separate"/>
    </w:r>
    <w:r w:rsidR="00A71297">
      <w:t>A4547534</w:t>
    </w:r>
    <w:r w:rsidR="003C07AB">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53C" w:rsidRPr="00ED12D0" w:rsidRDefault="0032253C" w:rsidP="00567E4E">
    <w:pPr>
      <w:spacing w:after="40"/>
      <w:jc w:val="center"/>
      <w:rPr>
        <w:sz w:val="20"/>
        <w:szCs w:val="20"/>
      </w:rPr>
    </w:pPr>
    <w:r>
      <w:rPr>
        <w:rStyle w:val="PageNumber"/>
        <w:sz w:val="20"/>
        <w:szCs w:val="20"/>
      </w:rPr>
      <w:fldChar w:fldCharType="begin"/>
    </w:r>
    <w:r>
      <w:rPr>
        <w:rStyle w:val="PageNumber"/>
        <w:sz w:val="20"/>
        <w:szCs w:val="20"/>
      </w:rPr>
      <w:instrText xml:space="preserve"> PAGE  \* roman </w:instrText>
    </w:r>
    <w:r>
      <w:rPr>
        <w:rStyle w:val="PageNumber"/>
        <w:sz w:val="20"/>
        <w:szCs w:val="20"/>
      </w:rPr>
      <w:fldChar w:fldCharType="separate"/>
    </w:r>
    <w:r w:rsidR="00367F62">
      <w:rPr>
        <w:rStyle w:val="PageNumber"/>
        <w:noProof/>
        <w:sz w:val="20"/>
        <w:szCs w:val="20"/>
      </w:rPr>
      <w:t>ii</w:t>
    </w:r>
    <w:r>
      <w:rPr>
        <w:rStyle w:val="PageNumber"/>
        <w:sz w:val="20"/>
        <w:szCs w:val="20"/>
      </w:rPr>
      <w:fldChar w:fldCharType="end"/>
    </w:r>
  </w:p>
  <w:p w:rsidR="0032253C" w:rsidRDefault="0032253C" w:rsidP="00ED12D0">
    <w:pPr>
      <w:tabs>
        <w:tab w:val="left" w:pos="3488"/>
      </w:tabs>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53C" w:rsidRPr="00ED12D0" w:rsidRDefault="0032253C" w:rsidP="00567E4E">
    <w:pPr>
      <w:spacing w:after="40"/>
      <w:jc w:val="center"/>
      <w:rPr>
        <w:sz w:val="20"/>
        <w:szCs w:val="20"/>
      </w:rPr>
    </w:pPr>
    <w:r>
      <w:rPr>
        <w:rStyle w:val="PageNumber"/>
        <w:sz w:val="20"/>
        <w:szCs w:val="20"/>
      </w:rPr>
      <w:fldChar w:fldCharType="begin"/>
    </w:r>
    <w:r>
      <w:rPr>
        <w:rStyle w:val="PageNumber"/>
        <w:sz w:val="20"/>
        <w:szCs w:val="20"/>
      </w:rPr>
      <w:instrText xml:space="preserve"> PAGE  \* Arabic </w:instrText>
    </w:r>
    <w:r>
      <w:rPr>
        <w:rStyle w:val="PageNumber"/>
        <w:sz w:val="20"/>
        <w:szCs w:val="20"/>
      </w:rPr>
      <w:fldChar w:fldCharType="separate"/>
    </w:r>
    <w:r w:rsidR="00367F62">
      <w:rPr>
        <w:rStyle w:val="PageNumber"/>
        <w:noProof/>
        <w:sz w:val="20"/>
        <w:szCs w:val="20"/>
      </w:rPr>
      <w:t>20</w:t>
    </w:r>
    <w:r>
      <w:rPr>
        <w:rStyle w:val="PageNumber"/>
        <w:sz w:val="20"/>
        <w:szCs w:val="20"/>
      </w:rPr>
      <w:fldChar w:fldCharType="end"/>
    </w:r>
  </w:p>
  <w:p w:rsidR="0032253C" w:rsidRDefault="0032253C" w:rsidP="00ED12D0">
    <w:pPr>
      <w:tabs>
        <w:tab w:val="left" w:pos="3488"/>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7AB" w:rsidRDefault="003C07AB" w:rsidP="00CB0DB5">
      <w:r>
        <w:separator/>
      </w:r>
    </w:p>
  </w:footnote>
  <w:footnote w:type="continuationSeparator" w:id="0">
    <w:p w:rsidR="003C07AB" w:rsidRDefault="003C07AB" w:rsidP="00CB0DB5">
      <w:r>
        <w:continuationSeparator/>
      </w:r>
    </w:p>
  </w:footnote>
  <w:footnote w:type="continuationNotice" w:id="1">
    <w:p w:rsidR="003C07AB" w:rsidRDefault="003C07A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53C" w:rsidRDefault="0032253C">
    <w:pPr>
      <w:pStyle w:val="Header"/>
    </w:pPr>
    <w:r>
      <w:rPr>
        <w:noProof/>
        <w:lang w:eastAsia="en-AU"/>
      </w:rPr>
      <w:drawing>
        <wp:anchor distT="0" distB="0" distL="0" distR="0" simplePos="0" relativeHeight="251657216" behindDoc="0" locked="1" layoutInCell="1" allowOverlap="1" wp14:anchorId="5A871EBE" wp14:editId="0CB348E7">
          <wp:simplePos x="0" y="0"/>
          <wp:positionH relativeFrom="margin">
            <wp:align>center</wp:align>
          </wp:positionH>
          <wp:positionV relativeFrom="page">
            <wp:posOffset>170815</wp:posOffset>
          </wp:positionV>
          <wp:extent cx="7199630" cy="10342245"/>
          <wp:effectExtent l="0" t="0" r="1270" b="1905"/>
          <wp:wrapSquare wrapText="bothSides"/>
          <wp:docPr id="2" name="Picture 2" descr="PI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RSA A4 Document Full Cover Header.png"/>
                  <pic:cNvPicPr/>
                </pic:nvPicPr>
                <pic:blipFill>
                  <a:blip r:embed="rId1">
                    <a:extLst>
                      <a:ext uri="{28A0092B-C50C-407E-A947-70E740481C1C}">
                        <a14:useLocalDpi xmlns:a14="http://schemas.microsoft.com/office/drawing/2010/main" val="0"/>
                      </a:ext>
                    </a:extLst>
                  </a:blip>
                  <a:stretch>
                    <a:fillRect/>
                  </a:stretch>
                </pic:blipFill>
                <pic:spPr>
                  <a:xfrm>
                    <a:off x="0" y="0"/>
                    <a:ext cx="7199630" cy="1034224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53C" w:rsidRDefault="003225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D2643"/>
    <w:multiLevelType w:val="hybridMultilevel"/>
    <w:tmpl w:val="1838729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87E6B32"/>
    <w:multiLevelType w:val="hybridMultilevel"/>
    <w:tmpl w:val="4844B8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909503A"/>
    <w:multiLevelType w:val="hybridMultilevel"/>
    <w:tmpl w:val="B6C2A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AA5E57"/>
    <w:multiLevelType w:val="hybridMultilevel"/>
    <w:tmpl w:val="FC340B16"/>
    <w:lvl w:ilvl="0" w:tplc="0C090019">
      <w:start w:val="1"/>
      <w:numFmt w:val="lowerLetter"/>
      <w:lvlText w:val="%1."/>
      <w:lvlJc w:val="left"/>
      <w:pPr>
        <w:ind w:left="1210" w:hanging="360"/>
      </w:pPr>
    </w:lvl>
    <w:lvl w:ilvl="1" w:tplc="0C090019" w:tentative="1">
      <w:start w:val="1"/>
      <w:numFmt w:val="lowerLetter"/>
      <w:lvlText w:val="%2."/>
      <w:lvlJc w:val="left"/>
      <w:pPr>
        <w:ind w:left="1930" w:hanging="360"/>
      </w:pPr>
    </w:lvl>
    <w:lvl w:ilvl="2" w:tplc="0C09001B" w:tentative="1">
      <w:start w:val="1"/>
      <w:numFmt w:val="lowerRoman"/>
      <w:lvlText w:val="%3."/>
      <w:lvlJc w:val="right"/>
      <w:pPr>
        <w:ind w:left="2650" w:hanging="180"/>
      </w:pPr>
    </w:lvl>
    <w:lvl w:ilvl="3" w:tplc="0C09000F" w:tentative="1">
      <w:start w:val="1"/>
      <w:numFmt w:val="decimal"/>
      <w:lvlText w:val="%4."/>
      <w:lvlJc w:val="left"/>
      <w:pPr>
        <w:ind w:left="3370" w:hanging="360"/>
      </w:pPr>
    </w:lvl>
    <w:lvl w:ilvl="4" w:tplc="0C090019" w:tentative="1">
      <w:start w:val="1"/>
      <w:numFmt w:val="lowerLetter"/>
      <w:lvlText w:val="%5."/>
      <w:lvlJc w:val="left"/>
      <w:pPr>
        <w:ind w:left="4090" w:hanging="360"/>
      </w:pPr>
    </w:lvl>
    <w:lvl w:ilvl="5" w:tplc="0C09001B" w:tentative="1">
      <w:start w:val="1"/>
      <w:numFmt w:val="lowerRoman"/>
      <w:lvlText w:val="%6."/>
      <w:lvlJc w:val="right"/>
      <w:pPr>
        <w:ind w:left="4810" w:hanging="180"/>
      </w:pPr>
    </w:lvl>
    <w:lvl w:ilvl="6" w:tplc="0C09000F" w:tentative="1">
      <w:start w:val="1"/>
      <w:numFmt w:val="decimal"/>
      <w:lvlText w:val="%7."/>
      <w:lvlJc w:val="left"/>
      <w:pPr>
        <w:ind w:left="5530" w:hanging="360"/>
      </w:pPr>
    </w:lvl>
    <w:lvl w:ilvl="7" w:tplc="0C090019" w:tentative="1">
      <w:start w:val="1"/>
      <w:numFmt w:val="lowerLetter"/>
      <w:lvlText w:val="%8."/>
      <w:lvlJc w:val="left"/>
      <w:pPr>
        <w:ind w:left="6250" w:hanging="360"/>
      </w:pPr>
    </w:lvl>
    <w:lvl w:ilvl="8" w:tplc="0C09001B" w:tentative="1">
      <w:start w:val="1"/>
      <w:numFmt w:val="lowerRoman"/>
      <w:lvlText w:val="%9."/>
      <w:lvlJc w:val="right"/>
      <w:pPr>
        <w:ind w:left="6970" w:hanging="180"/>
      </w:pPr>
    </w:lvl>
  </w:abstractNum>
  <w:abstractNum w:abstractNumId="4" w15:restartNumberingAfterBreak="0">
    <w:nsid w:val="0FBF5170"/>
    <w:multiLevelType w:val="hybridMultilevel"/>
    <w:tmpl w:val="1B46C3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1DE1916"/>
    <w:multiLevelType w:val="hybridMultilevel"/>
    <w:tmpl w:val="29B0AA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4B10E24"/>
    <w:multiLevelType w:val="hybridMultilevel"/>
    <w:tmpl w:val="6470799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B967DC3"/>
    <w:multiLevelType w:val="hybridMultilevel"/>
    <w:tmpl w:val="099C09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CFA561A"/>
    <w:multiLevelType w:val="multilevel"/>
    <w:tmpl w:val="BBDA5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FF82FAA"/>
    <w:multiLevelType w:val="hybridMultilevel"/>
    <w:tmpl w:val="FF54C6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3A11897"/>
    <w:multiLevelType w:val="hybridMultilevel"/>
    <w:tmpl w:val="1EE833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5782B78"/>
    <w:multiLevelType w:val="hybridMultilevel"/>
    <w:tmpl w:val="086EA9C4"/>
    <w:lvl w:ilvl="0" w:tplc="BA643F0C">
      <w:start w:val="1"/>
      <w:numFmt w:val="decimal"/>
      <w:lvlText w:val="(%1)"/>
      <w:lvlJc w:val="left"/>
      <w:pPr>
        <w:ind w:left="418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C71345D"/>
    <w:multiLevelType w:val="hybridMultilevel"/>
    <w:tmpl w:val="FF18DD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E692073"/>
    <w:multiLevelType w:val="hybridMultilevel"/>
    <w:tmpl w:val="3AB6D6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43D363B"/>
    <w:multiLevelType w:val="hybridMultilevel"/>
    <w:tmpl w:val="7DB030DC"/>
    <w:lvl w:ilvl="0" w:tplc="0C09000F">
      <w:start w:val="1"/>
      <w:numFmt w:val="decimal"/>
      <w:lvlText w:val="%1."/>
      <w:lvlJc w:val="left"/>
      <w:pPr>
        <w:ind w:left="360" w:hanging="360"/>
      </w:p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39606211"/>
    <w:multiLevelType w:val="hybridMultilevel"/>
    <w:tmpl w:val="C72EA95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A6A40A9"/>
    <w:multiLevelType w:val="hybridMultilevel"/>
    <w:tmpl w:val="9BE87D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D1E74EA"/>
    <w:multiLevelType w:val="hybridMultilevel"/>
    <w:tmpl w:val="156061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F17289D"/>
    <w:multiLevelType w:val="hybridMultilevel"/>
    <w:tmpl w:val="A0D6CA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4552FD9"/>
    <w:multiLevelType w:val="hybridMultilevel"/>
    <w:tmpl w:val="C9E635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0A339BB"/>
    <w:multiLevelType w:val="multilevel"/>
    <w:tmpl w:val="FD94B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477195B"/>
    <w:multiLevelType w:val="hybridMultilevel"/>
    <w:tmpl w:val="086EA9C4"/>
    <w:lvl w:ilvl="0" w:tplc="BA643F0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7773408"/>
    <w:multiLevelType w:val="hybridMultilevel"/>
    <w:tmpl w:val="BE344A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DBE045E"/>
    <w:multiLevelType w:val="hybridMultilevel"/>
    <w:tmpl w:val="583203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ECC03C2"/>
    <w:multiLevelType w:val="hybridMultilevel"/>
    <w:tmpl w:val="B75274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F230990"/>
    <w:multiLevelType w:val="hybridMultilevel"/>
    <w:tmpl w:val="280CC2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2D972BC"/>
    <w:multiLevelType w:val="hybridMultilevel"/>
    <w:tmpl w:val="146AA870"/>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6B200AE8"/>
    <w:multiLevelType w:val="hybridMultilevel"/>
    <w:tmpl w:val="1750C480"/>
    <w:lvl w:ilvl="0" w:tplc="0C09000F">
      <w:start w:val="1"/>
      <w:numFmt w:val="decimal"/>
      <w:lvlText w:val="%1."/>
      <w:lvlJc w:val="left"/>
      <w:pPr>
        <w:ind w:left="720" w:hanging="360"/>
      </w:pPr>
    </w:lvl>
    <w:lvl w:ilvl="1" w:tplc="0C090019">
      <w:start w:val="1"/>
      <w:numFmt w:val="lowerLetter"/>
      <w:lvlText w:val="%2."/>
      <w:lvlJc w:val="left"/>
      <w:pPr>
        <w:ind w:left="121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8" w15:restartNumberingAfterBreak="0">
    <w:nsid w:val="6F9C0359"/>
    <w:multiLevelType w:val="hybridMultilevel"/>
    <w:tmpl w:val="020008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2D6394E"/>
    <w:multiLevelType w:val="hybridMultilevel"/>
    <w:tmpl w:val="66D804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D755596"/>
    <w:multiLevelType w:val="hybridMultilevel"/>
    <w:tmpl w:val="376EBE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FB9239D"/>
    <w:multiLevelType w:val="hybridMultilevel"/>
    <w:tmpl w:val="0B620F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8"/>
  </w:num>
  <w:num w:numId="2">
    <w:abstractNumId w:val="13"/>
  </w:num>
  <w:num w:numId="3">
    <w:abstractNumId w:val="14"/>
  </w:num>
  <w:num w:numId="4">
    <w:abstractNumId w:val="4"/>
  </w:num>
  <w:num w:numId="5">
    <w:abstractNumId w:val="18"/>
  </w:num>
  <w:num w:numId="6">
    <w:abstractNumId w:val="15"/>
  </w:num>
  <w:num w:numId="7">
    <w:abstractNumId w:val="30"/>
  </w:num>
  <w:num w:numId="8">
    <w:abstractNumId w:val="10"/>
  </w:num>
  <w:num w:numId="9">
    <w:abstractNumId w:val="6"/>
  </w:num>
  <w:num w:numId="10">
    <w:abstractNumId w:val="5"/>
  </w:num>
  <w:num w:numId="11">
    <w:abstractNumId w:val="22"/>
  </w:num>
  <w:num w:numId="12">
    <w:abstractNumId w:val="7"/>
  </w:num>
  <w:num w:numId="13">
    <w:abstractNumId w:val="12"/>
  </w:num>
  <w:num w:numId="14">
    <w:abstractNumId w:val="31"/>
  </w:num>
  <w:num w:numId="15">
    <w:abstractNumId w:val="9"/>
  </w:num>
  <w:num w:numId="16">
    <w:abstractNumId w:val="1"/>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11"/>
  </w:num>
  <w:num w:numId="20">
    <w:abstractNumId w:val="2"/>
  </w:num>
  <w:num w:numId="21">
    <w:abstractNumId w:val="25"/>
  </w:num>
  <w:num w:numId="22">
    <w:abstractNumId w:val="17"/>
  </w:num>
  <w:num w:numId="23">
    <w:abstractNumId w:val="20"/>
  </w:num>
  <w:num w:numId="24">
    <w:abstractNumId w:val="8"/>
  </w:num>
  <w:num w:numId="25">
    <w:abstractNumId w:val="26"/>
  </w:num>
  <w:num w:numId="26">
    <w:abstractNumId w:val="0"/>
  </w:num>
  <w:num w:numId="27">
    <w:abstractNumId w:val="19"/>
  </w:num>
  <w:num w:numId="28">
    <w:abstractNumId w:val="16"/>
  </w:num>
  <w:num w:numId="29">
    <w:abstractNumId w:val="23"/>
  </w:num>
  <w:num w:numId="30">
    <w:abstractNumId w:val="24"/>
  </w:num>
  <w:num w:numId="31">
    <w:abstractNumId w:val="29"/>
  </w:num>
  <w:num w:numId="32">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24D"/>
    <w:rsid w:val="00001EA3"/>
    <w:rsid w:val="00002CDC"/>
    <w:rsid w:val="00007D3D"/>
    <w:rsid w:val="00010F1E"/>
    <w:rsid w:val="00016BD4"/>
    <w:rsid w:val="0002473D"/>
    <w:rsid w:val="00025DF9"/>
    <w:rsid w:val="00025E04"/>
    <w:rsid w:val="00026654"/>
    <w:rsid w:val="00027983"/>
    <w:rsid w:val="00030386"/>
    <w:rsid w:val="0003534B"/>
    <w:rsid w:val="00035B2B"/>
    <w:rsid w:val="0003716F"/>
    <w:rsid w:val="00037241"/>
    <w:rsid w:val="00040F5E"/>
    <w:rsid w:val="00043550"/>
    <w:rsid w:val="000453C9"/>
    <w:rsid w:val="000454C1"/>
    <w:rsid w:val="00046A22"/>
    <w:rsid w:val="00054057"/>
    <w:rsid w:val="00057F7F"/>
    <w:rsid w:val="00063039"/>
    <w:rsid w:val="00063080"/>
    <w:rsid w:val="00065D9D"/>
    <w:rsid w:val="000749C8"/>
    <w:rsid w:val="00077A35"/>
    <w:rsid w:val="000808C1"/>
    <w:rsid w:val="000809FA"/>
    <w:rsid w:val="00087FBE"/>
    <w:rsid w:val="000953D1"/>
    <w:rsid w:val="000A1B76"/>
    <w:rsid w:val="000A248B"/>
    <w:rsid w:val="000A29A0"/>
    <w:rsid w:val="000A47C8"/>
    <w:rsid w:val="000A52D4"/>
    <w:rsid w:val="000A69BA"/>
    <w:rsid w:val="000B0190"/>
    <w:rsid w:val="000B08CC"/>
    <w:rsid w:val="000B42DE"/>
    <w:rsid w:val="000B7EF9"/>
    <w:rsid w:val="000C1A68"/>
    <w:rsid w:val="000C53CF"/>
    <w:rsid w:val="000C759C"/>
    <w:rsid w:val="000D0395"/>
    <w:rsid w:val="000D0B17"/>
    <w:rsid w:val="000D4B1E"/>
    <w:rsid w:val="000D518F"/>
    <w:rsid w:val="000D6F69"/>
    <w:rsid w:val="000D70EC"/>
    <w:rsid w:val="000D733C"/>
    <w:rsid w:val="000E0383"/>
    <w:rsid w:val="000E0612"/>
    <w:rsid w:val="000E28B9"/>
    <w:rsid w:val="000E3B13"/>
    <w:rsid w:val="000E416E"/>
    <w:rsid w:val="000E783E"/>
    <w:rsid w:val="000F1E2C"/>
    <w:rsid w:val="000F7474"/>
    <w:rsid w:val="001011E7"/>
    <w:rsid w:val="001016B8"/>
    <w:rsid w:val="0010210D"/>
    <w:rsid w:val="001029A0"/>
    <w:rsid w:val="001069F2"/>
    <w:rsid w:val="00110439"/>
    <w:rsid w:val="001135D2"/>
    <w:rsid w:val="00115086"/>
    <w:rsid w:val="0012048C"/>
    <w:rsid w:val="001224B9"/>
    <w:rsid w:val="00123900"/>
    <w:rsid w:val="00133D9E"/>
    <w:rsid w:val="0013421A"/>
    <w:rsid w:val="001345A5"/>
    <w:rsid w:val="001357B0"/>
    <w:rsid w:val="00143217"/>
    <w:rsid w:val="00144B12"/>
    <w:rsid w:val="00144D7B"/>
    <w:rsid w:val="0014539C"/>
    <w:rsid w:val="00152B84"/>
    <w:rsid w:val="001564F3"/>
    <w:rsid w:val="00160A57"/>
    <w:rsid w:val="00160DE7"/>
    <w:rsid w:val="0016168E"/>
    <w:rsid w:val="00164394"/>
    <w:rsid w:val="001648F8"/>
    <w:rsid w:val="00165F76"/>
    <w:rsid w:val="00177128"/>
    <w:rsid w:val="00180D66"/>
    <w:rsid w:val="00181141"/>
    <w:rsid w:val="0018301D"/>
    <w:rsid w:val="0018323B"/>
    <w:rsid w:val="00184399"/>
    <w:rsid w:val="00190E8F"/>
    <w:rsid w:val="001921F1"/>
    <w:rsid w:val="001A2E8F"/>
    <w:rsid w:val="001A41ED"/>
    <w:rsid w:val="001B16F9"/>
    <w:rsid w:val="001B1C2C"/>
    <w:rsid w:val="001B47A2"/>
    <w:rsid w:val="001B53CF"/>
    <w:rsid w:val="001C42C5"/>
    <w:rsid w:val="001C46AD"/>
    <w:rsid w:val="001C5C93"/>
    <w:rsid w:val="001D05C1"/>
    <w:rsid w:val="001D17E3"/>
    <w:rsid w:val="001D235F"/>
    <w:rsid w:val="001D7461"/>
    <w:rsid w:val="001E0DF0"/>
    <w:rsid w:val="001E12E3"/>
    <w:rsid w:val="001E5602"/>
    <w:rsid w:val="001F09AD"/>
    <w:rsid w:val="001F29B3"/>
    <w:rsid w:val="001F4A10"/>
    <w:rsid w:val="001F4ADF"/>
    <w:rsid w:val="001F60D0"/>
    <w:rsid w:val="001F75D2"/>
    <w:rsid w:val="001F780B"/>
    <w:rsid w:val="00204767"/>
    <w:rsid w:val="0021546B"/>
    <w:rsid w:val="00220F70"/>
    <w:rsid w:val="00223632"/>
    <w:rsid w:val="002345A5"/>
    <w:rsid w:val="00235C03"/>
    <w:rsid w:val="00236B09"/>
    <w:rsid w:val="00237A58"/>
    <w:rsid w:val="00242472"/>
    <w:rsid w:val="00243E30"/>
    <w:rsid w:val="0025296B"/>
    <w:rsid w:val="00254D79"/>
    <w:rsid w:val="0026620B"/>
    <w:rsid w:val="0028181C"/>
    <w:rsid w:val="00285FC6"/>
    <w:rsid w:val="00290DEE"/>
    <w:rsid w:val="0029519B"/>
    <w:rsid w:val="0029579D"/>
    <w:rsid w:val="00296D31"/>
    <w:rsid w:val="002972F4"/>
    <w:rsid w:val="002A3D70"/>
    <w:rsid w:val="002A568A"/>
    <w:rsid w:val="002A6A2F"/>
    <w:rsid w:val="002B1277"/>
    <w:rsid w:val="002B1A27"/>
    <w:rsid w:val="002B3641"/>
    <w:rsid w:val="002B4947"/>
    <w:rsid w:val="002B6905"/>
    <w:rsid w:val="002C69B5"/>
    <w:rsid w:val="002D1159"/>
    <w:rsid w:val="002D38FF"/>
    <w:rsid w:val="002E4D0E"/>
    <w:rsid w:val="002F067D"/>
    <w:rsid w:val="002F0925"/>
    <w:rsid w:val="002F1792"/>
    <w:rsid w:val="003033DB"/>
    <w:rsid w:val="00303C31"/>
    <w:rsid w:val="003051E6"/>
    <w:rsid w:val="00306E4A"/>
    <w:rsid w:val="003109B3"/>
    <w:rsid w:val="00310A73"/>
    <w:rsid w:val="00310B74"/>
    <w:rsid w:val="003124E6"/>
    <w:rsid w:val="0032253C"/>
    <w:rsid w:val="00326EFD"/>
    <w:rsid w:val="003339D6"/>
    <w:rsid w:val="003359AE"/>
    <w:rsid w:val="003368BB"/>
    <w:rsid w:val="003370AC"/>
    <w:rsid w:val="003372F1"/>
    <w:rsid w:val="0033798D"/>
    <w:rsid w:val="00345A88"/>
    <w:rsid w:val="003516D3"/>
    <w:rsid w:val="00352528"/>
    <w:rsid w:val="00355345"/>
    <w:rsid w:val="003611B7"/>
    <w:rsid w:val="00363ABD"/>
    <w:rsid w:val="00367F62"/>
    <w:rsid w:val="0037565E"/>
    <w:rsid w:val="00377911"/>
    <w:rsid w:val="00382472"/>
    <w:rsid w:val="00384F07"/>
    <w:rsid w:val="003855C1"/>
    <w:rsid w:val="003A22D6"/>
    <w:rsid w:val="003A3CFF"/>
    <w:rsid w:val="003A5E1A"/>
    <w:rsid w:val="003A7D49"/>
    <w:rsid w:val="003B010C"/>
    <w:rsid w:val="003B123B"/>
    <w:rsid w:val="003B4734"/>
    <w:rsid w:val="003B5D82"/>
    <w:rsid w:val="003C07AB"/>
    <w:rsid w:val="003C1089"/>
    <w:rsid w:val="003C1763"/>
    <w:rsid w:val="003C1802"/>
    <w:rsid w:val="003C3906"/>
    <w:rsid w:val="003C4458"/>
    <w:rsid w:val="003C4994"/>
    <w:rsid w:val="003C5163"/>
    <w:rsid w:val="003C67E8"/>
    <w:rsid w:val="003D3823"/>
    <w:rsid w:val="003D3EE3"/>
    <w:rsid w:val="003D60C4"/>
    <w:rsid w:val="003E17F5"/>
    <w:rsid w:val="003E30FC"/>
    <w:rsid w:val="003E5598"/>
    <w:rsid w:val="003E71D7"/>
    <w:rsid w:val="003F1973"/>
    <w:rsid w:val="003F2479"/>
    <w:rsid w:val="003F2D02"/>
    <w:rsid w:val="003F3159"/>
    <w:rsid w:val="003F7C39"/>
    <w:rsid w:val="00400200"/>
    <w:rsid w:val="00405BC8"/>
    <w:rsid w:val="004061D5"/>
    <w:rsid w:val="00411147"/>
    <w:rsid w:val="00412F4D"/>
    <w:rsid w:val="00415114"/>
    <w:rsid w:val="004159EF"/>
    <w:rsid w:val="00420BFC"/>
    <w:rsid w:val="0042551B"/>
    <w:rsid w:val="00427BE3"/>
    <w:rsid w:val="0044068D"/>
    <w:rsid w:val="00440724"/>
    <w:rsid w:val="0044562C"/>
    <w:rsid w:val="004541BA"/>
    <w:rsid w:val="0045584D"/>
    <w:rsid w:val="00455BED"/>
    <w:rsid w:val="0045658E"/>
    <w:rsid w:val="0046095A"/>
    <w:rsid w:val="00460B58"/>
    <w:rsid w:val="00466B04"/>
    <w:rsid w:val="0047520C"/>
    <w:rsid w:val="0048526C"/>
    <w:rsid w:val="00485903"/>
    <w:rsid w:val="00492F8B"/>
    <w:rsid w:val="00495BCF"/>
    <w:rsid w:val="00496F6E"/>
    <w:rsid w:val="004A1075"/>
    <w:rsid w:val="004B0AD0"/>
    <w:rsid w:val="004B30EF"/>
    <w:rsid w:val="004B34D0"/>
    <w:rsid w:val="004B3950"/>
    <w:rsid w:val="004B5FC5"/>
    <w:rsid w:val="004C13AC"/>
    <w:rsid w:val="004C4EDC"/>
    <w:rsid w:val="004D4B5A"/>
    <w:rsid w:val="004D7C7B"/>
    <w:rsid w:val="004E0586"/>
    <w:rsid w:val="004E1B92"/>
    <w:rsid w:val="004E202B"/>
    <w:rsid w:val="004E7355"/>
    <w:rsid w:val="004E79FD"/>
    <w:rsid w:val="004F7637"/>
    <w:rsid w:val="004F76D8"/>
    <w:rsid w:val="005038C2"/>
    <w:rsid w:val="00506A03"/>
    <w:rsid w:val="00506BBD"/>
    <w:rsid w:val="005077F0"/>
    <w:rsid w:val="00510AAF"/>
    <w:rsid w:val="00510EF2"/>
    <w:rsid w:val="005275D7"/>
    <w:rsid w:val="00532ABD"/>
    <w:rsid w:val="00533F3E"/>
    <w:rsid w:val="0053431F"/>
    <w:rsid w:val="00536B89"/>
    <w:rsid w:val="00537F93"/>
    <w:rsid w:val="0054077F"/>
    <w:rsid w:val="00541680"/>
    <w:rsid w:val="00543AB8"/>
    <w:rsid w:val="00550CB9"/>
    <w:rsid w:val="00552A6F"/>
    <w:rsid w:val="005538A5"/>
    <w:rsid w:val="005551B0"/>
    <w:rsid w:val="00557A6F"/>
    <w:rsid w:val="0056637E"/>
    <w:rsid w:val="00567E4E"/>
    <w:rsid w:val="00567F4C"/>
    <w:rsid w:val="0057105B"/>
    <w:rsid w:val="00572B67"/>
    <w:rsid w:val="00577130"/>
    <w:rsid w:val="005778A7"/>
    <w:rsid w:val="005812CD"/>
    <w:rsid w:val="005835BE"/>
    <w:rsid w:val="005851C1"/>
    <w:rsid w:val="00587B1E"/>
    <w:rsid w:val="005A0672"/>
    <w:rsid w:val="005A4018"/>
    <w:rsid w:val="005A6F11"/>
    <w:rsid w:val="005A76A2"/>
    <w:rsid w:val="005B10DD"/>
    <w:rsid w:val="005B4370"/>
    <w:rsid w:val="005B48B7"/>
    <w:rsid w:val="005B5033"/>
    <w:rsid w:val="005B6EB2"/>
    <w:rsid w:val="005C228F"/>
    <w:rsid w:val="005C2628"/>
    <w:rsid w:val="005D096C"/>
    <w:rsid w:val="005D5D7D"/>
    <w:rsid w:val="005E283A"/>
    <w:rsid w:val="005E2A1F"/>
    <w:rsid w:val="005E4BFB"/>
    <w:rsid w:val="005F32CB"/>
    <w:rsid w:val="005F383E"/>
    <w:rsid w:val="005F42B8"/>
    <w:rsid w:val="005F532B"/>
    <w:rsid w:val="005F56A4"/>
    <w:rsid w:val="00601704"/>
    <w:rsid w:val="0060364C"/>
    <w:rsid w:val="00603D9D"/>
    <w:rsid w:val="00604931"/>
    <w:rsid w:val="00607E04"/>
    <w:rsid w:val="00615E1A"/>
    <w:rsid w:val="00622AE7"/>
    <w:rsid w:val="00625F0A"/>
    <w:rsid w:val="006322BE"/>
    <w:rsid w:val="006334E0"/>
    <w:rsid w:val="00636372"/>
    <w:rsid w:val="0063638C"/>
    <w:rsid w:val="00637C0E"/>
    <w:rsid w:val="00641A21"/>
    <w:rsid w:val="00642DA7"/>
    <w:rsid w:val="00643851"/>
    <w:rsid w:val="00652115"/>
    <w:rsid w:val="00653577"/>
    <w:rsid w:val="0065404B"/>
    <w:rsid w:val="00654274"/>
    <w:rsid w:val="006551C2"/>
    <w:rsid w:val="006721FD"/>
    <w:rsid w:val="006722B3"/>
    <w:rsid w:val="00676271"/>
    <w:rsid w:val="00677A24"/>
    <w:rsid w:val="00680BE3"/>
    <w:rsid w:val="00681F8A"/>
    <w:rsid w:val="00685F18"/>
    <w:rsid w:val="00691772"/>
    <w:rsid w:val="00692D74"/>
    <w:rsid w:val="00696A86"/>
    <w:rsid w:val="006A0F4E"/>
    <w:rsid w:val="006A16EC"/>
    <w:rsid w:val="006A18E4"/>
    <w:rsid w:val="006A6797"/>
    <w:rsid w:val="006B6B7E"/>
    <w:rsid w:val="006B6E53"/>
    <w:rsid w:val="006C0046"/>
    <w:rsid w:val="006C69EF"/>
    <w:rsid w:val="006C747B"/>
    <w:rsid w:val="006C7F74"/>
    <w:rsid w:val="006D0B5D"/>
    <w:rsid w:val="006D176C"/>
    <w:rsid w:val="006D1D8B"/>
    <w:rsid w:val="006D2A70"/>
    <w:rsid w:val="006D3BF0"/>
    <w:rsid w:val="006D3CDD"/>
    <w:rsid w:val="006D6389"/>
    <w:rsid w:val="006D739A"/>
    <w:rsid w:val="006E25DA"/>
    <w:rsid w:val="006F18F8"/>
    <w:rsid w:val="006F2AA3"/>
    <w:rsid w:val="006F3A39"/>
    <w:rsid w:val="006F4EA7"/>
    <w:rsid w:val="006F74C8"/>
    <w:rsid w:val="00700323"/>
    <w:rsid w:val="00702534"/>
    <w:rsid w:val="00703374"/>
    <w:rsid w:val="00706511"/>
    <w:rsid w:val="0070756F"/>
    <w:rsid w:val="00710086"/>
    <w:rsid w:val="00712D76"/>
    <w:rsid w:val="0071402D"/>
    <w:rsid w:val="00715F50"/>
    <w:rsid w:val="00720468"/>
    <w:rsid w:val="007204DA"/>
    <w:rsid w:val="00723059"/>
    <w:rsid w:val="00724D86"/>
    <w:rsid w:val="007268FD"/>
    <w:rsid w:val="00727E29"/>
    <w:rsid w:val="00730886"/>
    <w:rsid w:val="0073199C"/>
    <w:rsid w:val="00732399"/>
    <w:rsid w:val="00735383"/>
    <w:rsid w:val="007408A9"/>
    <w:rsid w:val="00751028"/>
    <w:rsid w:val="007529B8"/>
    <w:rsid w:val="007531E1"/>
    <w:rsid w:val="00753793"/>
    <w:rsid w:val="00760AFA"/>
    <w:rsid w:val="00760D90"/>
    <w:rsid w:val="00760F69"/>
    <w:rsid w:val="00763C82"/>
    <w:rsid w:val="007648A7"/>
    <w:rsid w:val="0076673B"/>
    <w:rsid w:val="0076782B"/>
    <w:rsid w:val="00767993"/>
    <w:rsid w:val="00771B2F"/>
    <w:rsid w:val="00775619"/>
    <w:rsid w:val="0078108D"/>
    <w:rsid w:val="0078321A"/>
    <w:rsid w:val="007946FA"/>
    <w:rsid w:val="00796C58"/>
    <w:rsid w:val="00796EC9"/>
    <w:rsid w:val="007A361C"/>
    <w:rsid w:val="007A3C0D"/>
    <w:rsid w:val="007A5E70"/>
    <w:rsid w:val="007A7275"/>
    <w:rsid w:val="007B0DB1"/>
    <w:rsid w:val="007B0FE4"/>
    <w:rsid w:val="007B255C"/>
    <w:rsid w:val="007B3449"/>
    <w:rsid w:val="007B5A8E"/>
    <w:rsid w:val="007C4CF3"/>
    <w:rsid w:val="007C4E61"/>
    <w:rsid w:val="007C5809"/>
    <w:rsid w:val="007D2095"/>
    <w:rsid w:val="007D4EDB"/>
    <w:rsid w:val="007E07AE"/>
    <w:rsid w:val="007E0861"/>
    <w:rsid w:val="007E1B0D"/>
    <w:rsid w:val="007E2CF9"/>
    <w:rsid w:val="007F04A9"/>
    <w:rsid w:val="007F28F5"/>
    <w:rsid w:val="007F55F3"/>
    <w:rsid w:val="007F78F2"/>
    <w:rsid w:val="00800F7E"/>
    <w:rsid w:val="00804B3B"/>
    <w:rsid w:val="00806BCD"/>
    <w:rsid w:val="0080703F"/>
    <w:rsid w:val="00814CE6"/>
    <w:rsid w:val="00817709"/>
    <w:rsid w:val="00817DE4"/>
    <w:rsid w:val="008204F5"/>
    <w:rsid w:val="00825FB5"/>
    <w:rsid w:val="00831092"/>
    <w:rsid w:val="00831A28"/>
    <w:rsid w:val="00831B48"/>
    <w:rsid w:val="00832F1E"/>
    <w:rsid w:val="0083370C"/>
    <w:rsid w:val="00836821"/>
    <w:rsid w:val="00842CB9"/>
    <w:rsid w:val="00843B21"/>
    <w:rsid w:val="00851761"/>
    <w:rsid w:val="00853710"/>
    <w:rsid w:val="00856AED"/>
    <w:rsid w:val="00857F00"/>
    <w:rsid w:val="00863DD4"/>
    <w:rsid w:val="008760E8"/>
    <w:rsid w:val="00881DCB"/>
    <w:rsid w:val="008824D4"/>
    <w:rsid w:val="008827E7"/>
    <w:rsid w:val="00886D83"/>
    <w:rsid w:val="00892E76"/>
    <w:rsid w:val="008937A1"/>
    <w:rsid w:val="008A1B02"/>
    <w:rsid w:val="008A5832"/>
    <w:rsid w:val="008B021D"/>
    <w:rsid w:val="008B051C"/>
    <w:rsid w:val="008B0D53"/>
    <w:rsid w:val="008B0E69"/>
    <w:rsid w:val="008B28C3"/>
    <w:rsid w:val="008B57D0"/>
    <w:rsid w:val="008C2704"/>
    <w:rsid w:val="008D1E78"/>
    <w:rsid w:val="008D6F35"/>
    <w:rsid w:val="008E5F97"/>
    <w:rsid w:val="008F1B1B"/>
    <w:rsid w:val="008F6252"/>
    <w:rsid w:val="008F6773"/>
    <w:rsid w:val="00900E52"/>
    <w:rsid w:val="009045FF"/>
    <w:rsid w:val="00904E1A"/>
    <w:rsid w:val="009054DD"/>
    <w:rsid w:val="00910FCB"/>
    <w:rsid w:val="0092524D"/>
    <w:rsid w:val="009270F3"/>
    <w:rsid w:val="009304A8"/>
    <w:rsid w:val="00932BEF"/>
    <w:rsid w:val="0093489C"/>
    <w:rsid w:val="00935C0B"/>
    <w:rsid w:val="00936574"/>
    <w:rsid w:val="00940E79"/>
    <w:rsid w:val="0094456F"/>
    <w:rsid w:val="00945A1C"/>
    <w:rsid w:val="00946A8B"/>
    <w:rsid w:val="00946E00"/>
    <w:rsid w:val="00947B4E"/>
    <w:rsid w:val="00947C32"/>
    <w:rsid w:val="00950533"/>
    <w:rsid w:val="009545FA"/>
    <w:rsid w:val="00957B9F"/>
    <w:rsid w:val="00960762"/>
    <w:rsid w:val="009611FF"/>
    <w:rsid w:val="009630DB"/>
    <w:rsid w:val="00963ED0"/>
    <w:rsid w:val="0097059E"/>
    <w:rsid w:val="00971977"/>
    <w:rsid w:val="00973FC1"/>
    <w:rsid w:val="00974817"/>
    <w:rsid w:val="00974823"/>
    <w:rsid w:val="00976BB0"/>
    <w:rsid w:val="009801A5"/>
    <w:rsid w:val="00982DA3"/>
    <w:rsid w:val="009831C3"/>
    <w:rsid w:val="0098685A"/>
    <w:rsid w:val="00992AEA"/>
    <w:rsid w:val="00992FF0"/>
    <w:rsid w:val="00995D87"/>
    <w:rsid w:val="009968BA"/>
    <w:rsid w:val="00996FB1"/>
    <w:rsid w:val="00997973"/>
    <w:rsid w:val="009A05AB"/>
    <w:rsid w:val="009A1524"/>
    <w:rsid w:val="009A2314"/>
    <w:rsid w:val="009A247F"/>
    <w:rsid w:val="009A736D"/>
    <w:rsid w:val="009B0CFC"/>
    <w:rsid w:val="009B234E"/>
    <w:rsid w:val="009B3F51"/>
    <w:rsid w:val="009B588E"/>
    <w:rsid w:val="009B5A37"/>
    <w:rsid w:val="009B6881"/>
    <w:rsid w:val="009C1A25"/>
    <w:rsid w:val="009C5636"/>
    <w:rsid w:val="009D1559"/>
    <w:rsid w:val="009D1D1F"/>
    <w:rsid w:val="009D3323"/>
    <w:rsid w:val="009D4727"/>
    <w:rsid w:val="009D4C73"/>
    <w:rsid w:val="009D609F"/>
    <w:rsid w:val="009D72ED"/>
    <w:rsid w:val="009E2839"/>
    <w:rsid w:val="009E38E0"/>
    <w:rsid w:val="009E3B23"/>
    <w:rsid w:val="009E3C04"/>
    <w:rsid w:val="009E561E"/>
    <w:rsid w:val="009E7F0B"/>
    <w:rsid w:val="009F2856"/>
    <w:rsid w:val="009F28FD"/>
    <w:rsid w:val="009F39CA"/>
    <w:rsid w:val="009F3D8E"/>
    <w:rsid w:val="009F75D2"/>
    <w:rsid w:val="00A03684"/>
    <w:rsid w:val="00A05457"/>
    <w:rsid w:val="00A06BC4"/>
    <w:rsid w:val="00A1170B"/>
    <w:rsid w:val="00A117A1"/>
    <w:rsid w:val="00A12E6C"/>
    <w:rsid w:val="00A1388B"/>
    <w:rsid w:val="00A16D73"/>
    <w:rsid w:val="00A21249"/>
    <w:rsid w:val="00A220E6"/>
    <w:rsid w:val="00A239CF"/>
    <w:rsid w:val="00A25713"/>
    <w:rsid w:val="00A3239F"/>
    <w:rsid w:val="00A33F16"/>
    <w:rsid w:val="00A33FA9"/>
    <w:rsid w:val="00A35D3F"/>
    <w:rsid w:val="00A41519"/>
    <w:rsid w:val="00A46D75"/>
    <w:rsid w:val="00A65039"/>
    <w:rsid w:val="00A65E25"/>
    <w:rsid w:val="00A71297"/>
    <w:rsid w:val="00A71951"/>
    <w:rsid w:val="00A73DDD"/>
    <w:rsid w:val="00A743D0"/>
    <w:rsid w:val="00A7783F"/>
    <w:rsid w:val="00A87264"/>
    <w:rsid w:val="00A87ACA"/>
    <w:rsid w:val="00A902BC"/>
    <w:rsid w:val="00A92E29"/>
    <w:rsid w:val="00A94BAF"/>
    <w:rsid w:val="00A97A04"/>
    <w:rsid w:val="00AA4F69"/>
    <w:rsid w:val="00AB21CC"/>
    <w:rsid w:val="00AB30A8"/>
    <w:rsid w:val="00AB6A64"/>
    <w:rsid w:val="00AB7532"/>
    <w:rsid w:val="00AC09F3"/>
    <w:rsid w:val="00AC0F22"/>
    <w:rsid w:val="00AC4A5D"/>
    <w:rsid w:val="00AD3E80"/>
    <w:rsid w:val="00AD5DC5"/>
    <w:rsid w:val="00AE1D5F"/>
    <w:rsid w:val="00AE36F4"/>
    <w:rsid w:val="00AE452B"/>
    <w:rsid w:val="00AE48B2"/>
    <w:rsid w:val="00AE615F"/>
    <w:rsid w:val="00AE718A"/>
    <w:rsid w:val="00AF089C"/>
    <w:rsid w:val="00AF1C15"/>
    <w:rsid w:val="00AF2D10"/>
    <w:rsid w:val="00AF40EB"/>
    <w:rsid w:val="00AF5961"/>
    <w:rsid w:val="00AF5DA3"/>
    <w:rsid w:val="00B0739E"/>
    <w:rsid w:val="00B1583B"/>
    <w:rsid w:val="00B1628D"/>
    <w:rsid w:val="00B17F50"/>
    <w:rsid w:val="00B2037C"/>
    <w:rsid w:val="00B32025"/>
    <w:rsid w:val="00B4215E"/>
    <w:rsid w:val="00B422EF"/>
    <w:rsid w:val="00B51638"/>
    <w:rsid w:val="00B531B5"/>
    <w:rsid w:val="00B55235"/>
    <w:rsid w:val="00B61866"/>
    <w:rsid w:val="00B76CAE"/>
    <w:rsid w:val="00B77CB0"/>
    <w:rsid w:val="00B84DFC"/>
    <w:rsid w:val="00B85172"/>
    <w:rsid w:val="00B86E53"/>
    <w:rsid w:val="00B9195A"/>
    <w:rsid w:val="00B91B4F"/>
    <w:rsid w:val="00B91C39"/>
    <w:rsid w:val="00BA184E"/>
    <w:rsid w:val="00BA1E8D"/>
    <w:rsid w:val="00BA2743"/>
    <w:rsid w:val="00BA3AF9"/>
    <w:rsid w:val="00BA62B4"/>
    <w:rsid w:val="00BB0987"/>
    <w:rsid w:val="00BB4441"/>
    <w:rsid w:val="00BB54A1"/>
    <w:rsid w:val="00BB6040"/>
    <w:rsid w:val="00BB7156"/>
    <w:rsid w:val="00BC0502"/>
    <w:rsid w:val="00BC16EC"/>
    <w:rsid w:val="00BC1B16"/>
    <w:rsid w:val="00BC3148"/>
    <w:rsid w:val="00BD1D1D"/>
    <w:rsid w:val="00BD27A7"/>
    <w:rsid w:val="00BD400F"/>
    <w:rsid w:val="00BD53E7"/>
    <w:rsid w:val="00BE0B1D"/>
    <w:rsid w:val="00BE20C3"/>
    <w:rsid w:val="00BE670E"/>
    <w:rsid w:val="00BE6AC0"/>
    <w:rsid w:val="00BF0C7C"/>
    <w:rsid w:val="00BF2658"/>
    <w:rsid w:val="00BF26EF"/>
    <w:rsid w:val="00BF344B"/>
    <w:rsid w:val="00BF381D"/>
    <w:rsid w:val="00BF5028"/>
    <w:rsid w:val="00BF73B3"/>
    <w:rsid w:val="00C00501"/>
    <w:rsid w:val="00C01837"/>
    <w:rsid w:val="00C01BF7"/>
    <w:rsid w:val="00C1613D"/>
    <w:rsid w:val="00C20A00"/>
    <w:rsid w:val="00C2124B"/>
    <w:rsid w:val="00C2268A"/>
    <w:rsid w:val="00C230DE"/>
    <w:rsid w:val="00C24F20"/>
    <w:rsid w:val="00C25DBC"/>
    <w:rsid w:val="00C310DC"/>
    <w:rsid w:val="00C3152E"/>
    <w:rsid w:val="00C31E3A"/>
    <w:rsid w:val="00C345EB"/>
    <w:rsid w:val="00C3635F"/>
    <w:rsid w:val="00C37E51"/>
    <w:rsid w:val="00C412C5"/>
    <w:rsid w:val="00C42BA3"/>
    <w:rsid w:val="00C4515A"/>
    <w:rsid w:val="00C51BC4"/>
    <w:rsid w:val="00C54763"/>
    <w:rsid w:val="00C562B6"/>
    <w:rsid w:val="00C6170B"/>
    <w:rsid w:val="00C6443B"/>
    <w:rsid w:val="00C665D0"/>
    <w:rsid w:val="00C70060"/>
    <w:rsid w:val="00C71544"/>
    <w:rsid w:val="00C732CF"/>
    <w:rsid w:val="00C7403E"/>
    <w:rsid w:val="00C74DFF"/>
    <w:rsid w:val="00C833F6"/>
    <w:rsid w:val="00C842B7"/>
    <w:rsid w:val="00C87739"/>
    <w:rsid w:val="00C87D80"/>
    <w:rsid w:val="00C903A7"/>
    <w:rsid w:val="00C936F7"/>
    <w:rsid w:val="00CA062D"/>
    <w:rsid w:val="00CA13F4"/>
    <w:rsid w:val="00CA23CD"/>
    <w:rsid w:val="00CA2535"/>
    <w:rsid w:val="00CB0863"/>
    <w:rsid w:val="00CB0DB5"/>
    <w:rsid w:val="00CB19CE"/>
    <w:rsid w:val="00CB1A1E"/>
    <w:rsid w:val="00CB1FCD"/>
    <w:rsid w:val="00CB4CDC"/>
    <w:rsid w:val="00CC49E3"/>
    <w:rsid w:val="00CC555E"/>
    <w:rsid w:val="00CD0221"/>
    <w:rsid w:val="00CD037C"/>
    <w:rsid w:val="00CD2541"/>
    <w:rsid w:val="00CD5522"/>
    <w:rsid w:val="00CD73B5"/>
    <w:rsid w:val="00CD78ED"/>
    <w:rsid w:val="00CE0999"/>
    <w:rsid w:val="00CE0E67"/>
    <w:rsid w:val="00CF620E"/>
    <w:rsid w:val="00D003A0"/>
    <w:rsid w:val="00D02291"/>
    <w:rsid w:val="00D02489"/>
    <w:rsid w:val="00D06C27"/>
    <w:rsid w:val="00D06EE0"/>
    <w:rsid w:val="00D20D5D"/>
    <w:rsid w:val="00D214AE"/>
    <w:rsid w:val="00D21CA2"/>
    <w:rsid w:val="00D21F96"/>
    <w:rsid w:val="00D23C78"/>
    <w:rsid w:val="00D242E3"/>
    <w:rsid w:val="00D24B9C"/>
    <w:rsid w:val="00D25207"/>
    <w:rsid w:val="00D3628B"/>
    <w:rsid w:val="00D37FD6"/>
    <w:rsid w:val="00D40B3F"/>
    <w:rsid w:val="00D45B01"/>
    <w:rsid w:val="00D47287"/>
    <w:rsid w:val="00D47353"/>
    <w:rsid w:val="00D47F45"/>
    <w:rsid w:val="00D518AC"/>
    <w:rsid w:val="00D53432"/>
    <w:rsid w:val="00D553D2"/>
    <w:rsid w:val="00D55E2E"/>
    <w:rsid w:val="00D64A5A"/>
    <w:rsid w:val="00D65EA2"/>
    <w:rsid w:val="00D70719"/>
    <w:rsid w:val="00D7384C"/>
    <w:rsid w:val="00D76013"/>
    <w:rsid w:val="00D83930"/>
    <w:rsid w:val="00D91E42"/>
    <w:rsid w:val="00D9238F"/>
    <w:rsid w:val="00D9290F"/>
    <w:rsid w:val="00D97F19"/>
    <w:rsid w:val="00DA0E9B"/>
    <w:rsid w:val="00DA140B"/>
    <w:rsid w:val="00DA28FF"/>
    <w:rsid w:val="00DA5B7A"/>
    <w:rsid w:val="00DB19D9"/>
    <w:rsid w:val="00DB1EE5"/>
    <w:rsid w:val="00DB477F"/>
    <w:rsid w:val="00DC041E"/>
    <w:rsid w:val="00DC2909"/>
    <w:rsid w:val="00DC63D6"/>
    <w:rsid w:val="00DC66EC"/>
    <w:rsid w:val="00DD299D"/>
    <w:rsid w:val="00DD44F9"/>
    <w:rsid w:val="00DD6C45"/>
    <w:rsid w:val="00DE6284"/>
    <w:rsid w:val="00DE6C8C"/>
    <w:rsid w:val="00DE6D8B"/>
    <w:rsid w:val="00E014CA"/>
    <w:rsid w:val="00E02447"/>
    <w:rsid w:val="00E02C82"/>
    <w:rsid w:val="00E036EC"/>
    <w:rsid w:val="00E10952"/>
    <w:rsid w:val="00E12CFA"/>
    <w:rsid w:val="00E13903"/>
    <w:rsid w:val="00E155FE"/>
    <w:rsid w:val="00E256F5"/>
    <w:rsid w:val="00E25874"/>
    <w:rsid w:val="00E3173F"/>
    <w:rsid w:val="00E33AEE"/>
    <w:rsid w:val="00E340FF"/>
    <w:rsid w:val="00E341B2"/>
    <w:rsid w:val="00E35863"/>
    <w:rsid w:val="00E4362C"/>
    <w:rsid w:val="00E43839"/>
    <w:rsid w:val="00E510C4"/>
    <w:rsid w:val="00E522A1"/>
    <w:rsid w:val="00E5526F"/>
    <w:rsid w:val="00E5689A"/>
    <w:rsid w:val="00E572E7"/>
    <w:rsid w:val="00E615C7"/>
    <w:rsid w:val="00E6288C"/>
    <w:rsid w:val="00E62B0F"/>
    <w:rsid w:val="00E64F91"/>
    <w:rsid w:val="00E67902"/>
    <w:rsid w:val="00E67E24"/>
    <w:rsid w:val="00E70250"/>
    <w:rsid w:val="00E73F8A"/>
    <w:rsid w:val="00E75928"/>
    <w:rsid w:val="00E765F9"/>
    <w:rsid w:val="00E84E62"/>
    <w:rsid w:val="00E85031"/>
    <w:rsid w:val="00E850E1"/>
    <w:rsid w:val="00E924ED"/>
    <w:rsid w:val="00E92EB6"/>
    <w:rsid w:val="00E93F21"/>
    <w:rsid w:val="00E944B6"/>
    <w:rsid w:val="00E9454B"/>
    <w:rsid w:val="00EA2763"/>
    <w:rsid w:val="00EA508A"/>
    <w:rsid w:val="00EA551C"/>
    <w:rsid w:val="00EA60DA"/>
    <w:rsid w:val="00EA67DD"/>
    <w:rsid w:val="00EB1449"/>
    <w:rsid w:val="00EB1DB6"/>
    <w:rsid w:val="00EB5AAC"/>
    <w:rsid w:val="00EB5C4C"/>
    <w:rsid w:val="00EC2516"/>
    <w:rsid w:val="00EC2B6D"/>
    <w:rsid w:val="00EC55A0"/>
    <w:rsid w:val="00ED0A73"/>
    <w:rsid w:val="00ED12D0"/>
    <w:rsid w:val="00ED53F2"/>
    <w:rsid w:val="00ED6090"/>
    <w:rsid w:val="00ED745E"/>
    <w:rsid w:val="00EE02F9"/>
    <w:rsid w:val="00EE1FAD"/>
    <w:rsid w:val="00EE51E4"/>
    <w:rsid w:val="00EF0545"/>
    <w:rsid w:val="00EF31E6"/>
    <w:rsid w:val="00EF3BDD"/>
    <w:rsid w:val="00F00568"/>
    <w:rsid w:val="00F0525B"/>
    <w:rsid w:val="00F07827"/>
    <w:rsid w:val="00F10096"/>
    <w:rsid w:val="00F15D7D"/>
    <w:rsid w:val="00F16D83"/>
    <w:rsid w:val="00F1700C"/>
    <w:rsid w:val="00F17F29"/>
    <w:rsid w:val="00F23360"/>
    <w:rsid w:val="00F246BD"/>
    <w:rsid w:val="00F266FB"/>
    <w:rsid w:val="00F2676A"/>
    <w:rsid w:val="00F3010B"/>
    <w:rsid w:val="00F329BE"/>
    <w:rsid w:val="00F35700"/>
    <w:rsid w:val="00F43AE8"/>
    <w:rsid w:val="00F43E0F"/>
    <w:rsid w:val="00F46AE8"/>
    <w:rsid w:val="00F51D6B"/>
    <w:rsid w:val="00F52C90"/>
    <w:rsid w:val="00F53006"/>
    <w:rsid w:val="00F57EF9"/>
    <w:rsid w:val="00F60C50"/>
    <w:rsid w:val="00F62F9A"/>
    <w:rsid w:val="00F63C41"/>
    <w:rsid w:val="00F6788A"/>
    <w:rsid w:val="00F67E0E"/>
    <w:rsid w:val="00F77419"/>
    <w:rsid w:val="00F77730"/>
    <w:rsid w:val="00F80929"/>
    <w:rsid w:val="00F82CCB"/>
    <w:rsid w:val="00F87E24"/>
    <w:rsid w:val="00F90023"/>
    <w:rsid w:val="00F9254B"/>
    <w:rsid w:val="00F93E1A"/>
    <w:rsid w:val="00F975E0"/>
    <w:rsid w:val="00FA110A"/>
    <w:rsid w:val="00FA13E1"/>
    <w:rsid w:val="00FA25AB"/>
    <w:rsid w:val="00FA3CDA"/>
    <w:rsid w:val="00FA53D8"/>
    <w:rsid w:val="00FA7624"/>
    <w:rsid w:val="00FB1714"/>
    <w:rsid w:val="00FB430B"/>
    <w:rsid w:val="00FB75F0"/>
    <w:rsid w:val="00FB7791"/>
    <w:rsid w:val="00FC48CB"/>
    <w:rsid w:val="00FD63D9"/>
    <w:rsid w:val="00FE3238"/>
    <w:rsid w:val="00FE4F54"/>
    <w:rsid w:val="00FF01A0"/>
    <w:rsid w:val="00FF1362"/>
    <w:rsid w:val="00FF6B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C9E407"/>
  <w15:chartTrackingRefBased/>
  <w15:docId w15:val="{74F3AF48-07DF-4E64-95A0-98D31CB94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793"/>
    <w:pPr>
      <w:spacing w:line="280" w:lineRule="exact"/>
    </w:pPr>
    <w:rPr>
      <w:rFonts w:ascii="Arial" w:hAnsi="Arial"/>
      <w:sz w:val="22"/>
    </w:rPr>
  </w:style>
  <w:style w:type="paragraph" w:styleId="Heading1">
    <w:name w:val="heading 1"/>
    <w:basedOn w:val="Normal"/>
    <w:next w:val="Normal"/>
    <w:link w:val="Heading1Char"/>
    <w:uiPriority w:val="9"/>
    <w:qFormat/>
    <w:rsid w:val="009B0CFC"/>
    <w:pPr>
      <w:keepNext/>
      <w:keepLines/>
      <w:spacing w:before="440" w:after="120" w:line="520" w:lineRule="exact"/>
      <w:contextualSpacing/>
      <w:outlineLvl w:val="0"/>
    </w:pPr>
    <w:rPr>
      <w:rFonts w:eastAsiaTheme="majorEastAsia" w:cstheme="majorBidi"/>
      <w:b/>
      <w:bCs/>
      <w:color w:val="00427A"/>
      <w:kern w:val="40"/>
      <w:sz w:val="40"/>
      <w:szCs w:val="48"/>
      <w:lang w:val="en-US" w:eastAsia="ja-JP"/>
    </w:rPr>
  </w:style>
  <w:style w:type="paragraph" w:styleId="Heading2">
    <w:name w:val="heading 2"/>
    <w:basedOn w:val="Normal"/>
    <w:next w:val="Normal"/>
    <w:link w:val="Heading2Char"/>
    <w:uiPriority w:val="9"/>
    <w:unhideWhenUsed/>
    <w:qFormat/>
    <w:rsid w:val="00976BB0"/>
    <w:pPr>
      <w:keepNext/>
      <w:keepLines/>
      <w:spacing w:before="480" w:after="120" w:line="390" w:lineRule="exact"/>
      <w:outlineLvl w:val="1"/>
    </w:pPr>
    <w:rPr>
      <w:rFonts w:eastAsiaTheme="majorEastAsia" w:cstheme="majorBidi"/>
      <w:b/>
      <w:color w:val="00427A"/>
      <w:kern w:val="28"/>
      <w:sz w:val="30"/>
      <w:szCs w:val="36"/>
      <w:lang w:val="en-US" w:eastAsia="ja-JP"/>
    </w:rPr>
  </w:style>
  <w:style w:type="paragraph" w:styleId="Heading3">
    <w:name w:val="heading 3"/>
    <w:basedOn w:val="Normal"/>
    <w:next w:val="Normal"/>
    <w:link w:val="Heading3Char"/>
    <w:uiPriority w:val="9"/>
    <w:unhideWhenUsed/>
    <w:qFormat/>
    <w:rsid w:val="003B123B"/>
    <w:pPr>
      <w:keepNext/>
      <w:keepLines/>
      <w:spacing w:before="360" w:line="300" w:lineRule="exact"/>
      <w:contextualSpacing/>
      <w:outlineLvl w:val="2"/>
    </w:pPr>
    <w:rPr>
      <w:rFonts w:eastAsiaTheme="majorEastAsia" w:cstheme="majorBidi"/>
      <w:b/>
      <w:bCs/>
      <w:sz w:val="24"/>
      <w:szCs w:val="20"/>
      <w:lang w:val="en-US" w:eastAsia="ja-JP"/>
    </w:rPr>
  </w:style>
  <w:style w:type="paragraph" w:styleId="Heading4">
    <w:name w:val="heading 4"/>
    <w:basedOn w:val="Normal"/>
    <w:next w:val="Normal"/>
    <w:link w:val="Heading4Char"/>
    <w:uiPriority w:val="9"/>
    <w:unhideWhenUsed/>
    <w:qFormat/>
    <w:rsid w:val="000D518F"/>
    <w:pPr>
      <w:keepNext/>
      <w:keepLines/>
      <w:spacing w:before="380" w:line="320" w:lineRule="exact"/>
      <w:contextualSpacing/>
      <w:outlineLvl w:val="3"/>
    </w:pPr>
    <w:rPr>
      <w:rFonts w:eastAsiaTheme="majorEastAsia" w:cstheme="majorBidi"/>
      <w:b/>
      <w:iCs/>
      <w:color w:val="000000" w:themeColor="text1"/>
    </w:rPr>
  </w:style>
  <w:style w:type="paragraph" w:styleId="Heading5">
    <w:name w:val="heading 5"/>
    <w:basedOn w:val="Normal"/>
    <w:next w:val="Normal"/>
    <w:link w:val="Heading5Char"/>
    <w:uiPriority w:val="9"/>
    <w:unhideWhenUsed/>
    <w:qFormat/>
    <w:rsid w:val="007E2CF9"/>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D518F"/>
    <w:rPr>
      <w:rFonts w:ascii="Arial" w:eastAsiaTheme="majorEastAsia" w:hAnsi="Arial" w:cstheme="majorBidi"/>
      <w:b/>
      <w:iCs/>
      <w:color w:val="000000" w:themeColor="text1"/>
      <w:sz w:val="22"/>
    </w:rPr>
  </w:style>
  <w:style w:type="paragraph" w:styleId="Header">
    <w:name w:val="header"/>
    <w:basedOn w:val="Normal"/>
    <w:link w:val="HeaderChar"/>
    <w:uiPriority w:val="99"/>
    <w:unhideWhenUsed/>
    <w:rsid w:val="00825FB5"/>
    <w:pPr>
      <w:tabs>
        <w:tab w:val="center" w:pos="4680"/>
        <w:tab w:val="right" w:pos="9360"/>
      </w:tabs>
    </w:pPr>
  </w:style>
  <w:style w:type="character" w:customStyle="1" w:styleId="HeaderChar">
    <w:name w:val="Header Char"/>
    <w:basedOn w:val="DefaultParagraphFont"/>
    <w:link w:val="Header"/>
    <w:uiPriority w:val="99"/>
    <w:rsid w:val="00825FB5"/>
    <w:rPr>
      <w:rFonts w:ascii="Arial" w:hAnsi="Arial"/>
      <w:sz w:val="20"/>
    </w:rPr>
  </w:style>
  <w:style w:type="paragraph" w:styleId="Footer">
    <w:name w:val="footer"/>
    <w:basedOn w:val="Normal"/>
    <w:link w:val="FooterChar"/>
    <w:uiPriority w:val="99"/>
    <w:unhideWhenUsed/>
    <w:rsid w:val="00825FB5"/>
    <w:pPr>
      <w:tabs>
        <w:tab w:val="center" w:pos="4680"/>
        <w:tab w:val="right" w:pos="9360"/>
      </w:tabs>
    </w:pPr>
  </w:style>
  <w:style w:type="paragraph" w:styleId="Title">
    <w:name w:val="Title"/>
    <w:basedOn w:val="Normal"/>
    <w:next w:val="Normal"/>
    <w:link w:val="TitleChar"/>
    <w:uiPriority w:val="10"/>
    <w:qFormat/>
    <w:rsid w:val="003B123B"/>
    <w:pPr>
      <w:spacing w:line="720" w:lineRule="exact"/>
      <w:contextualSpacing/>
    </w:pPr>
    <w:rPr>
      <w:rFonts w:eastAsiaTheme="majorEastAsia" w:cstheme="majorBidi"/>
      <w:b/>
      <w:bCs/>
      <w:color w:val="00427A"/>
      <w:kern w:val="28"/>
      <w:sz w:val="60"/>
      <w:szCs w:val="84"/>
      <w:lang w:val="en-US" w:eastAsia="ja-JP"/>
    </w:rPr>
  </w:style>
  <w:style w:type="character" w:customStyle="1" w:styleId="TitleChar">
    <w:name w:val="Title Char"/>
    <w:basedOn w:val="DefaultParagraphFont"/>
    <w:link w:val="Title"/>
    <w:uiPriority w:val="10"/>
    <w:rsid w:val="003B123B"/>
    <w:rPr>
      <w:rFonts w:ascii="Arial" w:eastAsiaTheme="majorEastAsia" w:hAnsi="Arial" w:cstheme="majorBidi"/>
      <w:b/>
      <w:bCs/>
      <w:color w:val="00427A"/>
      <w:kern w:val="28"/>
      <w:sz w:val="60"/>
      <w:szCs w:val="84"/>
      <w:lang w:val="en-US" w:eastAsia="ja-JP"/>
    </w:rPr>
  </w:style>
  <w:style w:type="character" w:customStyle="1" w:styleId="Heading1Char">
    <w:name w:val="Heading 1 Char"/>
    <w:basedOn w:val="DefaultParagraphFont"/>
    <w:link w:val="Heading1"/>
    <w:uiPriority w:val="9"/>
    <w:rsid w:val="009B0CFC"/>
    <w:rPr>
      <w:rFonts w:ascii="Arial" w:eastAsiaTheme="majorEastAsia" w:hAnsi="Arial" w:cstheme="majorBidi"/>
      <w:b/>
      <w:bCs/>
      <w:color w:val="00427A"/>
      <w:kern w:val="40"/>
      <w:sz w:val="40"/>
      <w:szCs w:val="48"/>
      <w:lang w:val="en-US" w:eastAsia="ja-JP"/>
    </w:rPr>
  </w:style>
  <w:style w:type="character" w:customStyle="1" w:styleId="Heading2Char">
    <w:name w:val="Heading 2 Char"/>
    <w:basedOn w:val="DefaultParagraphFont"/>
    <w:link w:val="Heading2"/>
    <w:uiPriority w:val="9"/>
    <w:rsid w:val="00976BB0"/>
    <w:rPr>
      <w:rFonts w:ascii="Arial" w:eastAsiaTheme="majorEastAsia" w:hAnsi="Arial" w:cstheme="majorBidi"/>
      <w:b/>
      <w:color w:val="00427A"/>
      <w:kern w:val="28"/>
      <w:sz w:val="30"/>
      <w:szCs w:val="36"/>
      <w:lang w:val="en-US" w:eastAsia="ja-JP"/>
    </w:rPr>
  </w:style>
  <w:style w:type="character" w:customStyle="1" w:styleId="Heading3Char">
    <w:name w:val="Heading 3 Char"/>
    <w:basedOn w:val="DefaultParagraphFont"/>
    <w:link w:val="Heading3"/>
    <w:uiPriority w:val="9"/>
    <w:rsid w:val="003B123B"/>
    <w:rPr>
      <w:rFonts w:ascii="Arial" w:eastAsiaTheme="majorEastAsia" w:hAnsi="Arial" w:cstheme="majorBidi"/>
      <w:b/>
      <w:bCs/>
      <w:szCs w:val="20"/>
      <w:lang w:val="en-US" w:eastAsia="ja-JP"/>
    </w:rPr>
  </w:style>
  <w:style w:type="paragraph" w:customStyle="1" w:styleId="FeatureText">
    <w:name w:val="Feature Text"/>
    <w:basedOn w:val="Normal"/>
    <w:qFormat/>
    <w:rsid w:val="003B123B"/>
    <w:pPr>
      <w:spacing w:before="240" w:line="400" w:lineRule="exact"/>
    </w:pPr>
    <w:rPr>
      <w:rFonts w:cs="Arial"/>
      <w:color w:val="00427A"/>
      <w:sz w:val="32"/>
      <w:szCs w:val="28"/>
      <w:u w:color="000000"/>
      <w:lang w:val="en-US" w:eastAsia="ja-JP"/>
    </w:rPr>
  </w:style>
  <w:style w:type="paragraph" w:styleId="BodyText">
    <w:name w:val="Body Text"/>
    <w:basedOn w:val="Normal"/>
    <w:link w:val="BodyTextChar"/>
    <w:uiPriority w:val="99"/>
    <w:unhideWhenUsed/>
    <w:qFormat/>
    <w:rsid w:val="00D53432"/>
    <w:pPr>
      <w:spacing w:before="220"/>
    </w:pPr>
    <w:rPr>
      <w:lang w:val="en-US" w:eastAsia="ja-JP"/>
    </w:rPr>
  </w:style>
  <w:style w:type="character" w:customStyle="1" w:styleId="BodyTextChar">
    <w:name w:val="Body Text Char"/>
    <w:basedOn w:val="DefaultParagraphFont"/>
    <w:link w:val="BodyText"/>
    <w:uiPriority w:val="99"/>
    <w:rsid w:val="007E2CF9"/>
    <w:rPr>
      <w:rFonts w:ascii="Arial" w:hAnsi="Arial"/>
      <w:sz w:val="22"/>
      <w:lang w:val="en-US" w:eastAsia="ja-JP"/>
    </w:rPr>
  </w:style>
  <w:style w:type="table" w:styleId="TableGrid">
    <w:name w:val="Table Grid"/>
    <w:basedOn w:val="TableNormal"/>
    <w:uiPriority w:val="59"/>
    <w:rsid w:val="0056637E"/>
    <w:rPr>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55F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155FE"/>
    <w:rPr>
      <w:rFonts w:ascii="Times New Roman" w:hAnsi="Times New Roman" w:cs="Times New Roman"/>
      <w:sz w:val="18"/>
      <w:szCs w:val="18"/>
    </w:rPr>
  </w:style>
  <w:style w:type="character" w:styleId="PageNumber">
    <w:name w:val="page number"/>
    <w:basedOn w:val="DefaultParagraphFont"/>
    <w:uiPriority w:val="99"/>
    <w:semiHidden/>
    <w:unhideWhenUsed/>
    <w:rsid w:val="00615E1A"/>
  </w:style>
  <w:style w:type="paragraph" w:customStyle="1" w:styleId="Division">
    <w:name w:val="Division"/>
    <w:basedOn w:val="Normal"/>
    <w:qFormat/>
    <w:rsid w:val="0028181C"/>
    <w:pPr>
      <w:spacing w:before="200" w:after="560" w:line="360" w:lineRule="exact"/>
      <w:contextualSpacing/>
    </w:pPr>
    <w:rPr>
      <w:rFonts w:cs="Arial Bold"/>
      <w:color w:val="FFFFFF" w:themeColor="background1"/>
      <w:sz w:val="30"/>
      <w:szCs w:val="44"/>
    </w:rPr>
  </w:style>
  <w:style w:type="character" w:customStyle="1" w:styleId="FooterChar">
    <w:name w:val="Footer Char"/>
    <w:basedOn w:val="DefaultParagraphFont"/>
    <w:link w:val="Footer"/>
    <w:uiPriority w:val="99"/>
    <w:rsid w:val="00825FB5"/>
    <w:rPr>
      <w:rFonts w:ascii="Arial" w:hAnsi="Arial"/>
      <w:sz w:val="20"/>
    </w:rPr>
  </w:style>
  <w:style w:type="character" w:customStyle="1" w:styleId="Heading5Char">
    <w:name w:val="Heading 5 Char"/>
    <w:basedOn w:val="DefaultParagraphFont"/>
    <w:link w:val="Heading5"/>
    <w:uiPriority w:val="9"/>
    <w:rsid w:val="007E2CF9"/>
    <w:rPr>
      <w:rFonts w:asciiTheme="majorHAnsi" w:eastAsiaTheme="majorEastAsia" w:hAnsiTheme="majorHAnsi" w:cstheme="majorBidi"/>
      <w:color w:val="2F5496" w:themeColor="accent1" w:themeShade="BF"/>
      <w:sz w:val="22"/>
    </w:rPr>
  </w:style>
  <w:style w:type="paragraph" w:styleId="TOC2">
    <w:name w:val="toc 2"/>
    <w:basedOn w:val="Normal"/>
    <w:next w:val="Normal"/>
    <w:autoRedefine/>
    <w:uiPriority w:val="39"/>
    <w:unhideWhenUsed/>
    <w:rsid w:val="00992AEA"/>
    <w:pPr>
      <w:tabs>
        <w:tab w:val="left" w:pos="880"/>
        <w:tab w:val="right" w:leader="dot" w:pos="10198"/>
      </w:tabs>
      <w:spacing w:after="100"/>
      <w:ind w:left="221"/>
    </w:pPr>
  </w:style>
  <w:style w:type="paragraph" w:styleId="TOC1">
    <w:name w:val="toc 1"/>
    <w:basedOn w:val="Normal"/>
    <w:next w:val="Normal"/>
    <w:autoRedefine/>
    <w:uiPriority w:val="39"/>
    <w:unhideWhenUsed/>
    <w:rsid w:val="006C69EF"/>
    <w:pPr>
      <w:tabs>
        <w:tab w:val="right" w:leader="dot" w:pos="10188"/>
      </w:tabs>
      <w:spacing w:before="120" w:after="120" w:line="360" w:lineRule="exact"/>
      <w:ind w:right="-7"/>
    </w:pPr>
    <w:rPr>
      <w:rFonts w:cs="Times New Roman (Body CS)"/>
      <w:noProof/>
      <w:color w:val="00427A"/>
      <w:sz w:val="24"/>
    </w:rPr>
  </w:style>
  <w:style w:type="paragraph" w:styleId="TOC3">
    <w:name w:val="toc 3"/>
    <w:basedOn w:val="Normal"/>
    <w:next w:val="Normal"/>
    <w:autoRedefine/>
    <w:uiPriority w:val="39"/>
    <w:unhideWhenUsed/>
    <w:rsid w:val="00E4362C"/>
    <w:pPr>
      <w:ind w:left="440"/>
    </w:pPr>
  </w:style>
  <w:style w:type="character" w:styleId="Hyperlink">
    <w:name w:val="Hyperlink"/>
    <w:basedOn w:val="DefaultParagraphFont"/>
    <w:uiPriority w:val="99"/>
    <w:unhideWhenUsed/>
    <w:rsid w:val="00AE1D5F"/>
    <w:rPr>
      <w:color w:val="0563C1" w:themeColor="hyperlink"/>
      <w:u w:val="single"/>
    </w:rPr>
  </w:style>
  <w:style w:type="table" w:styleId="GridTable4-Accent3">
    <w:name w:val="Grid Table 4 Accent 3"/>
    <w:basedOn w:val="TableNormal"/>
    <w:uiPriority w:val="49"/>
    <w:rsid w:val="0092524D"/>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ListParagraph">
    <w:name w:val="List Paragraph"/>
    <w:basedOn w:val="Normal"/>
    <w:uiPriority w:val="34"/>
    <w:qFormat/>
    <w:rsid w:val="00587B1E"/>
    <w:pPr>
      <w:ind w:left="720"/>
      <w:contextualSpacing/>
    </w:pPr>
  </w:style>
  <w:style w:type="paragraph" w:styleId="TOCHeading">
    <w:name w:val="TOC Heading"/>
    <w:basedOn w:val="Heading1"/>
    <w:next w:val="Normal"/>
    <w:uiPriority w:val="39"/>
    <w:unhideWhenUsed/>
    <w:qFormat/>
    <w:rsid w:val="008B051C"/>
    <w:pPr>
      <w:spacing w:before="240" w:line="259" w:lineRule="auto"/>
      <w:contextualSpacing w:val="0"/>
      <w:outlineLvl w:val="9"/>
    </w:pPr>
    <w:rPr>
      <w:rFonts w:asciiTheme="majorHAnsi" w:hAnsiTheme="majorHAnsi"/>
      <w:b w:val="0"/>
      <w:bCs w:val="0"/>
      <w:color w:val="2F5496" w:themeColor="accent1" w:themeShade="BF"/>
      <w:kern w:val="0"/>
      <w:sz w:val="32"/>
      <w:szCs w:val="32"/>
      <w:lang w:eastAsia="en-US"/>
    </w:rPr>
  </w:style>
  <w:style w:type="character" w:styleId="CommentReference">
    <w:name w:val="annotation reference"/>
    <w:basedOn w:val="DefaultParagraphFont"/>
    <w:uiPriority w:val="99"/>
    <w:semiHidden/>
    <w:unhideWhenUsed/>
    <w:rsid w:val="00F16D83"/>
    <w:rPr>
      <w:sz w:val="16"/>
      <w:szCs w:val="16"/>
    </w:rPr>
  </w:style>
  <w:style w:type="paragraph" w:styleId="CommentText">
    <w:name w:val="annotation text"/>
    <w:basedOn w:val="Normal"/>
    <w:link w:val="CommentTextChar"/>
    <w:uiPriority w:val="99"/>
    <w:semiHidden/>
    <w:unhideWhenUsed/>
    <w:rsid w:val="00F16D83"/>
    <w:pPr>
      <w:spacing w:line="240" w:lineRule="auto"/>
    </w:pPr>
    <w:rPr>
      <w:sz w:val="20"/>
      <w:szCs w:val="20"/>
    </w:rPr>
  </w:style>
  <w:style w:type="character" w:customStyle="1" w:styleId="CommentTextChar">
    <w:name w:val="Comment Text Char"/>
    <w:basedOn w:val="DefaultParagraphFont"/>
    <w:link w:val="CommentText"/>
    <w:uiPriority w:val="99"/>
    <w:semiHidden/>
    <w:rsid w:val="00F16D8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16D83"/>
    <w:rPr>
      <w:b/>
      <w:bCs/>
    </w:rPr>
  </w:style>
  <w:style w:type="character" w:customStyle="1" w:styleId="CommentSubjectChar">
    <w:name w:val="Comment Subject Char"/>
    <w:basedOn w:val="CommentTextChar"/>
    <w:link w:val="CommentSubject"/>
    <w:uiPriority w:val="99"/>
    <w:semiHidden/>
    <w:rsid w:val="00F16D83"/>
    <w:rPr>
      <w:rFonts w:ascii="Arial" w:hAnsi="Arial"/>
      <w:b/>
      <w:bCs/>
      <w:sz w:val="20"/>
      <w:szCs w:val="20"/>
    </w:rPr>
  </w:style>
  <w:style w:type="paragraph" w:styleId="FootnoteText">
    <w:name w:val="footnote text"/>
    <w:basedOn w:val="Normal"/>
    <w:link w:val="FootnoteTextChar"/>
    <w:uiPriority w:val="99"/>
    <w:semiHidden/>
    <w:unhideWhenUsed/>
    <w:rsid w:val="001135D2"/>
    <w:pPr>
      <w:spacing w:line="240" w:lineRule="auto"/>
    </w:pPr>
    <w:rPr>
      <w:sz w:val="20"/>
      <w:szCs w:val="20"/>
    </w:rPr>
  </w:style>
  <w:style w:type="character" w:customStyle="1" w:styleId="FootnoteTextChar">
    <w:name w:val="Footnote Text Char"/>
    <w:basedOn w:val="DefaultParagraphFont"/>
    <w:link w:val="FootnoteText"/>
    <w:uiPriority w:val="99"/>
    <w:semiHidden/>
    <w:rsid w:val="001135D2"/>
    <w:rPr>
      <w:rFonts w:ascii="Arial" w:hAnsi="Arial"/>
      <w:sz w:val="20"/>
      <w:szCs w:val="20"/>
    </w:rPr>
  </w:style>
  <w:style w:type="character" w:styleId="FootnoteReference">
    <w:name w:val="footnote reference"/>
    <w:basedOn w:val="DefaultParagraphFont"/>
    <w:uiPriority w:val="99"/>
    <w:semiHidden/>
    <w:unhideWhenUsed/>
    <w:rsid w:val="001135D2"/>
    <w:rPr>
      <w:vertAlign w:val="superscript"/>
    </w:rPr>
  </w:style>
  <w:style w:type="paragraph" w:styleId="Revision">
    <w:name w:val="Revision"/>
    <w:hidden/>
    <w:uiPriority w:val="99"/>
    <w:semiHidden/>
    <w:rsid w:val="00063080"/>
    <w:rPr>
      <w:rFonts w:ascii="Arial" w:hAnsi="Arial"/>
      <w:sz w:val="22"/>
    </w:rPr>
  </w:style>
  <w:style w:type="character" w:styleId="FollowedHyperlink">
    <w:name w:val="FollowedHyperlink"/>
    <w:basedOn w:val="DefaultParagraphFont"/>
    <w:uiPriority w:val="99"/>
    <w:semiHidden/>
    <w:unhideWhenUsed/>
    <w:rsid w:val="008827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69848">
      <w:bodyDiv w:val="1"/>
      <w:marLeft w:val="0"/>
      <w:marRight w:val="0"/>
      <w:marTop w:val="0"/>
      <w:marBottom w:val="0"/>
      <w:divBdr>
        <w:top w:val="none" w:sz="0" w:space="0" w:color="auto"/>
        <w:left w:val="none" w:sz="0" w:space="0" w:color="auto"/>
        <w:bottom w:val="none" w:sz="0" w:space="0" w:color="auto"/>
        <w:right w:val="none" w:sz="0" w:space="0" w:color="auto"/>
      </w:divBdr>
    </w:div>
    <w:div w:id="251283405">
      <w:bodyDiv w:val="1"/>
      <w:marLeft w:val="0"/>
      <w:marRight w:val="0"/>
      <w:marTop w:val="0"/>
      <w:marBottom w:val="0"/>
      <w:divBdr>
        <w:top w:val="none" w:sz="0" w:space="0" w:color="auto"/>
        <w:left w:val="none" w:sz="0" w:space="0" w:color="auto"/>
        <w:bottom w:val="none" w:sz="0" w:space="0" w:color="auto"/>
        <w:right w:val="none" w:sz="0" w:space="0" w:color="auto"/>
      </w:divBdr>
    </w:div>
    <w:div w:id="256526321">
      <w:bodyDiv w:val="1"/>
      <w:marLeft w:val="0"/>
      <w:marRight w:val="0"/>
      <w:marTop w:val="0"/>
      <w:marBottom w:val="0"/>
      <w:divBdr>
        <w:top w:val="none" w:sz="0" w:space="0" w:color="auto"/>
        <w:left w:val="none" w:sz="0" w:space="0" w:color="auto"/>
        <w:bottom w:val="none" w:sz="0" w:space="0" w:color="auto"/>
        <w:right w:val="none" w:sz="0" w:space="0" w:color="auto"/>
      </w:divBdr>
    </w:div>
    <w:div w:id="738285598">
      <w:bodyDiv w:val="1"/>
      <w:marLeft w:val="0"/>
      <w:marRight w:val="0"/>
      <w:marTop w:val="0"/>
      <w:marBottom w:val="0"/>
      <w:divBdr>
        <w:top w:val="none" w:sz="0" w:space="0" w:color="auto"/>
        <w:left w:val="none" w:sz="0" w:space="0" w:color="auto"/>
        <w:bottom w:val="none" w:sz="0" w:space="0" w:color="auto"/>
        <w:right w:val="none" w:sz="0" w:space="0" w:color="auto"/>
      </w:divBdr>
    </w:div>
    <w:div w:id="881671728">
      <w:bodyDiv w:val="1"/>
      <w:marLeft w:val="0"/>
      <w:marRight w:val="0"/>
      <w:marTop w:val="0"/>
      <w:marBottom w:val="0"/>
      <w:divBdr>
        <w:top w:val="none" w:sz="0" w:space="0" w:color="auto"/>
        <w:left w:val="none" w:sz="0" w:space="0" w:color="auto"/>
        <w:bottom w:val="none" w:sz="0" w:space="0" w:color="auto"/>
        <w:right w:val="none" w:sz="0" w:space="0" w:color="auto"/>
      </w:divBdr>
    </w:div>
    <w:div w:id="1047098182">
      <w:bodyDiv w:val="1"/>
      <w:marLeft w:val="0"/>
      <w:marRight w:val="0"/>
      <w:marTop w:val="0"/>
      <w:marBottom w:val="0"/>
      <w:divBdr>
        <w:top w:val="none" w:sz="0" w:space="0" w:color="auto"/>
        <w:left w:val="none" w:sz="0" w:space="0" w:color="auto"/>
        <w:bottom w:val="none" w:sz="0" w:space="0" w:color="auto"/>
        <w:right w:val="none" w:sz="0" w:space="0" w:color="auto"/>
      </w:divBdr>
    </w:div>
    <w:div w:id="1048186090">
      <w:bodyDiv w:val="1"/>
      <w:marLeft w:val="0"/>
      <w:marRight w:val="0"/>
      <w:marTop w:val="0"/>
      <w:marBottom w:val="0"/>
      <w:divBdr>
        <w:top w:val="none" w:sz="0" w:space="0" w:color="auto"/>
        <w:left w:val="none" w:sz="0" w:space="0" w:color="auto"/>
        <w:bottom w:val="none" w:sz="0" w:space="0" w:color="auto"/>
        <w:right w:val="none" w:sz="0" w:space="0" w:color="auto"/>
      </w:divBdr>
    </w:div>
    <w:div w:id="1546746635">
      <w:bodyDiv w:val="1"/>
      <w:marLeft w:val="0"/>
      <w:marRight w:val="0"/>
      <w:marTop w:val="0"/>
      <w:marBottom w:val="0"/>
      <w:divBdr>
        <w:top w:val="none" w:sz="0" w:space="0" w:color="auto"/>
        <w:left w:val="none" w:sz="0" w:space="0" w:color="auto"/>
        <w:bottom w:val="none" w:sz="0" w:space="0" w:color="auto"/>
        <w:right w:val="none" w:sz="0" w:space="0" w:color="auto"/>
      </w:divBdr>
    </w:div>
    <w:div w:id="2137791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3.xml" Id="rId13" /><Relationship Type="http://schemas.openxmlformats.org/officeDocument/2006/relationships/hyperlink" Target="https://www.pir.sa.gov.au/__data/assets/pdf_file/0014/12920/Final_Commercial_MSF_Management_Plan_2013.pdf" TargetMode="External" Id="rId18" /><Relationship Type="http://schemas.openxmlformats.org/officeDocument/2006/relationships/fontTable" Target="fontTable.xml" Id="rId26" /><Relationship Type="http://schemas.openxmlformats.org/officeDocument/2006/relationships/numbering" Target="numbering.xml" Id="rId3" /><Relationship Type="http://schemas.openxmlformats.org/officeDocument/2006/relationships/hyperlink" Target="mailto:MSF.Reform@sa.gov.au" TargetMode="External" Id="rId21" /><Relationship Type="http://schemas.openxmlformats.org/officeDocument/2006/relationships/footnotes" Target="footnotes.xml" Id="rId7" /><Relationship Type="http://schemas.openxmlformats.org/officeDocument/2006/relationships/image" Target="media/image2.png" Id="rId12" /><Relationship Type="http://schemas.openxmlformats.org/officeDocument/2006/relationships/hyperlink" Target="https://www.pir.sa.gov.au/__data/assets/pdf_file/0010/348193/Consultation_Paper_final.pdf" TargetMode="External" Id="rId17" /><Relationship Type="http://schemas.openxmlformats.org/officeDocument/2006/relationships/header" Target="header2.xml" Id="rId25" /><Relationship Type="http://schemas.openxmlformats.org/officeDocument/2006/relationships/customXml" Target="../customXml/item2.xml" Id="rId2" /><Relationship Type="http://schemas.openxmlformats.org/officeDocument/2006/relationships/hyperlink" Target="https://www.pir.sa.gov.au/__data/assets/pdf_file/0014/12920/Final_Commercial_MSF_Management_Plan_2013.pdf" TargetMode="External" Id="rId16" /><Relationship Type="http://schemas.openxmlformats.org/officeDocument/2006/relationships/hyperlink" Target="http://www.pir.sa.gov.au/fishingreform" TargetMode="External" Id="rId20" /><Relationship Type="http://schemas.openxmlformats.org/officeDocument/2006/relationships/webSettings" Target="webSettings.xml" Id="rId6" /><Relationship Type="http://schemas.openxmlformats.org/officeDocument/2006/relationships/footer" Target="footer2.xml" Id="rId11" /><Relationship Type="http://schemas.openxmlformats.org/officeDocument/2006/relationships/footer" Target="footer4.xml" Id="rId24" /><Relationship Type="http://schemas.openxmlformats.org/officeDocument/2006/relationships/settings" Target="settings.xml" Id="rId5" /><Relationship Type="http://schemas.openxmlformats.org/officeDocument/2006/relationships/hyperlink" Target="https://www.legislation.gov.au/Details/F2020L00893/Explanatory%20Statement/Text" TargetMode="External" Id="rId15" /><Relationship Type="http://schemas.openxmlformats.org/officeDocument/2006/relationships/hyperlink" Target="http://www.pir.sa.gov.au/fishingreform" TargetMode="External" Id="rId23" /><Relationship Type="http://schemas.openxmlformats.org/officeDocument/2006/relationships/header" Target="header1.xml" Id="rId10" /><Relationship Type="http://schemas.openxmlformats.org/officeDocument/2006/relationships/hyperlink" Target="https://www.pir.sa.gov.au/__data/assets/pdf_file/0014/12920/Final_Commercial_MSF_Management_Plan_2013.pdf" TargetMode="External" Id="rId19" /><Relationship Type="http://schemas.openxmlformats.org/officeDocument/2006/relationships/styles" Target="styles.xml" Id="rId4" /><Relationship Type="http://schemas.openxmlformats.org/officeDocument/2006/relationships/footer" Target="footer1.xml" Id="rId9" /><Relationship Type="http://schemas.openxmlformats.org/officeDocument/2006/relationships/hyperlink" Target="https://www.legislation.gov.au/Details/F2020L00893" TargetMode="External" Id="rId14" /><Relationship Type="http://schemas.openxmlformats.org/officeDocument/2006/relationships/hyperlink" Target="https://www.pir.sa.gov.au/?a=368967" TargetMode="External" Id="rId22" /><Relationship Type="http://schemas.openxmlformats.org/officeDocument/2006/relationships/theme" Target="theme/theme1.xml" Id="rId27" /><Relationship Type="http://schemas.openxmlformats.org/officeDocument/2006/relationships/customXml" Target="/customXML/item3.xml" Id="Redb57576d3454f62"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Data\Jonathan%20McPhail\UserData\Documents\PIRSA\Marine%20Scalefish%20Fishery\Snapper\Snapper%202019_20\Snapper%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3D2A87C8A9941445E0533AF0780A13BC" version="1.0.0">
  <systemFields>
    <field name="Objective-Id">
      <value order="0">A4547534</value>
    </field>
    <field name="Objective-Title">
      <value order="0">Marine Scalefish Fishery Reform - Stage 2 Information August 2020</value>
    </field>
    <field name="Objective-Description">
      <value order="0"/>
    </field>
    <field name="Objective-CreationStamp">
      <value order="0">2020-07-14T05:46:56Z</value>
    </field>
    <field name="Objective-IsApproved">
      <value order="0">false</value>
    </field>
    <field name="Objective-IsPublished">
      <value order="0">false</value>
    </field>
    <field name="Objective-DatePublished">
      <value order="0"/>
    </field>
    <field name="Objective-ModificationStamp">
      <value order="0">2020-08-17T01:09:40Z</value>
    </field>
    <field name="Objective-Owner">
      <value order="0">Fistr, Alice</value>
    </field>
    <field name="Objective-Path">
      <value order="0">Global Folder:01 Fisheries &amp; Aquaculture:Fisheries &amp; Aquaculture Governance:Boards &amp; Committees:Fisheries Committees:FISHERIES &amp; AQUACULTURE GOVERNANCE - Boards &amp; Committees - Fisheries Committees Marine Scalefish Fishery Reform Project Steering Group:Project Plan:Project 10 - Communications and consultation:MSF Reform: Stage 2 Information</value>
    </field>
    <field name="Objective-Parent">
      <value order="0">MSF Reform: Stage 2 Information</value>
    </field>
    <field name="Objective-State">
      <value order="0">Being Drafted</value>
    </field>
    <field name="Objective-VersionId">
      <value order="0">vA7484345</value>
    </field>
    <field name="Objective-Version">
      <value order="0">7.3</value>
    </field>
    <field name="Objective-VersionNumber">
      <value order="0">14</value>
    </field>
    <field name="Objective-VersionComment">
      <value order="0"/>
    </field>
    <field name="Objective-FileNumber">
      <value order="0">FishAq F2020/000061</value>
    </field>
    <field name="Objective-Classification">
      <value order="0"/>
    </field>
    <field name="Objective-Caveats">
      <value order="0"/>
    </field>
  </systemFields>
  <catalogues>
    <catalogue name="Electronic Document Type Catalogue" type="type" ori="id:cA6">
      <field name="Objective-Agency">
        <value order="0">Primary Industries and Regions SA</value>
      </field>
      <field name="Objective-Business Division">
        <value order="0">Fisheries &amp; Aquaculture F&amp;A</value>
      </field>
      <field name="Objective-Workgroup">
        <value order="0">F&amp;A Fisheries Policy Team</value>
      </field>
      <field name="Objective-Section">
        <value order="0"/>
      </field>
      <field name="Objective-Document Type">
        <value order="0">Discussion Paper</value>
      </field>
      <field name="Objective-Security Classification">
        <value order="0">02 Official</value>
      </field>
      <field name="Objective-Access Use Conditions">
        <value order="0"/>
      </field>
      <field name="Objective-Connect Creator">
        <value order="0"/>
      </field>
      <field name="Objective-Customer Person">
        <value order="0"/>
      </field>
      <field name="Objective-Customer Organisation">
        <value order="0"/>
      </field>
      <field name="Objective-Transaction Reference">
        <value order="0"/>
      </field>
      <field name="Objective-Place Name">
        <value order="0"/>
      </field>
      <field name="Objective-Description or Summary">
        <value order="0"/>
      </field>
      <field name="Objective-Date Document Created">
        <value order="0"/>
      </field>
      <field name="Objective-Document Created By">
        <value order="0"/>
      </field>
      <field name="Objective-Date Source Document Scanned">
        <value order="0"/>
      </field>
      <field name="Objective-Source Document Disposal Status">
        <value order="0"/>
      </field>
      <field name="Objective-Date Temporary Value Source Document Destroyed">
        <value order="0"/>
      </field>
      <field name="Objective-Date Received">
        <value order="0"/>
      </field>
      <field name="Objective-Action Delegator">
        <value order="0"/>
      </field>
      <field name="Objective-Action Officer">
        <value order="0"/>
      </field>
      <field name="Objective-Action Required">
        <value order="0"/>
      </field>
      <field name="Objective-Date Action Due By">
        <value order="0"/>
      </field>
      <field name="Objective-Date Action Assigned">
        <value order="0"/>
      </field>
      <field name="Objective-Action Approved by">
        <value order="0"/>
      </field>
      <field name="Objective-Date Action Approved">
        <value order="0"/>
      </field>
      <field name="Objective-Date Interim Reply Sent">
        <value order="0"/>
      </field>
      <field name="Objective-Date Final Reply Sent">
        <value order="0"/>
      </field>
      <field name="Objective-Date_Completed_On">
        <value order="0"/>
      </field>
      <field name="Objective-Intranet_Publishing_Requestor">
        <value order="0"/>
      </field>
      <field name="Objective-Intranet_Publishing_Requestor_Email">
        <value order="0"/>
      </field>
      <field name="Objective-Intranet Publisher">
        <value order="0">CORP ICT Intranet Publishing General Document Workflow Group</value>
      </field>
      <field name="Objective-Intranet_Publisher_Contact">
        <value order="0"/>
      </field>
      <field name="Objective-Intranet_Publisher_Email">
        <value order="0"/>
      </field>
      <field name="Objective-Intranet_Display_Name">
        <value order="0"/>
      </field>
      <field name="Objective-Free Text Subjects">
        <value order="0"/>
      </field>
      <field name="Objective-Intranet_Publishing_Requirement">
        <value order="0"/>
      </field>
      <field name="Objective-Intranet_Publishing_Instructions">
        <value order="0"/>
      </field>
      <field name="Objective-Document Published Version URL Link">
        <value order="0">https://objectivesag.pirsa.sa.gov.au/id:A4533543/document/versions/published</value>
      </field>
      <field name="Objective-Intranet URL Keyword">
        <value order="0">%globals_asset_metadata_PublishedURL%</value>
      </field>
      <field name="Objective-Intranet Short Name">
        <value order="0">A4533543</value>
      </field>
      <field name="Objective-Intranet_Publishing_Metadata_Schema">
        <value order="0">73217</value>
      </field>
      <field name="Objective-Intranet_Publishing_CSV_File_Operation">
        <value order="0">E</value>
      </field>
      <field name="Objective-Intranet_Asset_ID">
        <value order="0"/>
      </field>
      <field name="Objective-Date_Intranet_Link_Published">
        <value order="0"/>
      </field>
      <field name="Objective-Date_Intranet_Link_Next_Review_Due">
        <value order="0"/>
      </field>
      <field name="Objective-Date_Intranet_Link_Removed">
        <value order="0"/>
      </field>
      <field name="Objective-Internet Publishing Requestor">
        <value order="0"/>
      </field>
      <field name="Objective-Internet Publishing Requestor Email">
        <value order="0"/>
      </field>
      <field name="Objective-Internet Publisher Group">
        <value order="0">CORP ICT Internet Website Publishing Workflow Group</value>
      </field>
      <field name="Objective-Internet Publisher Contact">
        <value order="0">publish, webpublish</value>
      </field>
      <field name="Objective-Internet Publisher Email">
        <value order="0">PIRSA.Webpublish@sa.gov.au</value>
      </field>
      <field name="Objective-Internet Friendly Name">
        <value order="0"/>
      </field>
      <field name="Objective-Internet Document Type">
        <value order="0"/>
      </field>
      <field name="Objective-Internet Publishing Requirement">
        <value order="0"/>
      </field>
      <field name="Objective-Internet Publishing Instructions or Page URI">
        <value order="0"/>
      </field>
      <field name="Objective-Date Document Released">
        <value order="0"/>
      </field>
      <field name="Objective-Abstract">
        <value order="0"/>
      </field>
      <field name="Objective-External Link">
        <value order="0"/>
      </field>
      <field name="Objective-Publish Metadata Only">
        <value order="0">No</value>
      </field>
      <field name="Objective-Generate PDF Rendition">
        <value order="0">No</value>
      </field>
      <field name="Objective-Rendition Object ID">
        <value order="0"/>
      </field>
      <field name="Objective-Rendition Document Extension">
        <value order="0"/>
      </field>
      <field name="Objective-Accessibility Reviewed">
        <value order="0"/>
      </field>
      <field name="Objective-Accessibility Review Notes">
        <value order="0"/>
      </field>
      <field name="Objective-Collection or Program Title">
        <value order="0"/>
      </field>
      <field name="Objective-Sub Collection or Item ID">
        <value order="0"/>
      </field>
      <field name="Objective-Date Internet Document &amp; CSV File Published on Website">
        <value order="0"/>
      </field>
      <field name="Objective-Date Internet Document &amp; CSV File Next Review Due">
        <value order="0"/>
      </field>
      <field name="Objective-Date Internet Document &amp; CSV File Removed from Website">
        <value order="0"/>
      </field>
      <field name="Objective-Internet Publishing CSV File Operation">
        <value order="0">A</value>
      </field>
      <field name="Objective-Covers Period From">
        <value order="0"/>
      </field>
      <field name="Objective-Covers Period To">
        <value order="0"/>
      </field>
      <field name="Objective-Access Rights">
        <value order="0">Closed</value>
      </field>
      <field name="Objective-Vital_Record_Indicator">
        <value order="0">No</value>
      </field>
      <field name="Objective-Access Security Review Due Date">
        <value order="0"/>
      </field>
      <field name="Objective-Vital Records Review Due Date">
        <value order="0"/>
      </field>
      <field name="Objective-Internal Reference">
        <value order="0"/>
      </field>
      <field name="Objective-Media_Storage_Format">
        <value order="0">Text</value>
      </field>
      <field name="Objective-Jurisdiction">
        <value order="0">SA</value>
      </field>
      <field name="Objective-Language">
        <value order="0">English (en)</value>
      </field>
      <field name="Objective-Intellectual_Property_Rights">
        <value order="0">SA Government</value>
      </field>
      <field name="Objective-Date Emailed to DPC">
        <value order="0"/>
      </field>
      <field name="Objective-Date Emailed to DTF">
        <value order="0"/>
      </field>
      <field name="Objective-Date Emailed to Ministers Office">
        <value order="0"/>
      </field>
      <field name="Objective-Disposal Reasons">
        <value order="0"/>
      </field>
      <field name="Objective-Date to be Exported">
        <value order="0"/>
      </field>
      <field name="Objective-Used By System Admin Only">
        <value order="0"/>
      </field>
      <field name="Objective-Old Agency">
        <value order="0"/>
      </field>
      <field name="Objective-Old Business Division">
        <value order="0"/>
      </field>
      <field name="Objective-Old Workgroup">
        <value order="0"/>
      </field>
      <field name="Objective-Old Section">
        <value order="0"/>
      </field>
    </catalogue>
    <catalogue name="Internal Briefings Workflow" type="user" ori="id:cA177">
      <field name="Objective-Ministerial File">
        <value order="0"/>
      </field>
      <field name="Objective-Briefing Type">
        <value order="0">Briefing already created</value>
      </field>
      <field name="Objective-Briefing Template">
        <value order="0">PIRSA Briefing</value>
      </field>
      <field name="Objective-File_Divider">
        <value order="0"/>
      </field>
      <field name="Objective-Requestor Type">
        <value order="0">Author</value>
      </field>
      <field name="Objective-A Number">
        <value order="0">A4540655</value>
      </field>
      <field name="Objective-Final_Scanned_Document">
        <value order="0"/>
      </field>
      <field name="Objective-Letter Required">
        <value order="0">No</value>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3D2A87C8A9941445E0533AF0780A13BC"/>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7B69106E-7404-4A32-9984-2BBDE7A3E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Snapper template 2.dotx</Template>
  <TotalTime>20</TotalTime>
  <Pages>20</Pages>
  <Words>7018</Words>
  <Characters>40008</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McPhail</dc:creator>
  <cp:keywords/>
  <dc:description/>
  <cp:lastModifiedBy>Presser, Jon (PIRSA)</cp:lastModifiedBy>
  <cp:revision>9</cp:revision>
  <cp:lastPrinted>2020-08-13T06:08:00Z</cp:lastPrinted>
  <dcterms:created xsi:type="dcterms:W3CDTF">2020-08-12T22:18:00Z</dcterms:created>
  <dcterms:modified xsi:type="dcterms:W3CDTF">2020-08-17T01:04:00Z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A4547534</vt:lpwstr>
  </property>
  <property fmtid="{D5CDD505-2E9C-101B-9397-08002B2CF9AE}" pid="4" name="Objective-Title">
    <vt:lpwstr>Marine Scalefish Fishery Reform - Stage 2 Information August 2020</vt:lpwstr>
  </property>
  <property fmtid="{D5CDD505-2E9C-101B-9397-08002B2CF9AE}" pid="5" name="Objective-Description">
    <vt:lpwstr/>
  </property>
  <property fmtid="{D5CDD505-2E9C-101B-9397-08002B2CF9AE}" pid="6" name="Objective-CreationStamp">
    <vt:filetime>2020-07-24T00:39:20Z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2020-08-17T01:09:40Z</vt:filetime>
  </property>
  <property fmtid="{D5CDD505-2E9C-101B-9397-08002B2CF9AE}" pid="11" name="Objective-Owner">
    <vt:lpwstr>Fistr, Alice</vt:lpwstr>
  </property>
  <property fmtid="{D5CDD505-2E9C-101B-9397-08002B2CF9AE}" pid="12" name="Objective-Path">
    <vt:lpwstr>Global Folder:01 Fisheries &amp; Aquaculture:Fisheries &amp; Aquaculture Governance:Boards &amp; Committees:Fisheries Committees:FISHERIES &amp; AQUACULTURE GOVERNANCE - Boards &amp; Committees - Fisheries Committees Marine Scalefish Fishery Reform Project Steering Group:Project Plan:Project 10 - Communications and consultation:MSF Reform: Stage 2 Information:</vt:lpwstr>
  </property>
  <property fmtid="{D5CDD505-2E9C-101B-9397-08002B2CF9AE}" pid="13" name="Objective-Parent">
    <vt:lpwstr>MSF Reform: Stage 2 Information</vt:lpwstr>
  </property>
  <property fmtid="{D5CDD505-2E9C-101B-9397-08002B2CF9AE}" pid="14" name="Objective-State">
    <vt:lpwstr>Being Drafted</vt:lpwstr>
  </property>
  <property fmtid="{D5CDD505-2E9C-101B-9397-08002B2CF9AE}" pid="15" name="Objective-VersionId">
    <vt:lpwstr>vA7484345</vt:lpwstr>
  </property>
  <property fmtid="{D5CDD505-2E9C-101B-9397-08002B2CF9AE}" pid="16" name="Objective-Version">
    <vt:lpwstr>7.3</vt:lpwstr>
  </property>
  <property fmtid="{D5CDD505-2E9C-101B-9397-08002B2CF9AE}" pid="17" name="Objective-VersionNumber">
    <vt:r8>14</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Agency">
    <vt:lpwstr>Primary Industries and Regions SA</vt:lpwstr>
  </property>
  <property fmtid="{D5CDD505-2E9C-101B-9397-08002B2CF9AE}" pid="23" name="Objective-Business Division">
    <vt:lpwstr>Fisheries &amp; Aquaculture F&amp;A</vt:lpwstr>
  </property>
  <property fmtid="{D5CDD505-2E9C-101B-9397-08002B2CF9AE}" pid="24" name="Objective-Workgroup">
    <vt:lpwstr>F&amp;A Fisheries Policy Team</vt:lpwstr>
  </property>
  <property fmtid="{D5CDD505-2E9C-101B-9397-08002B2CF9AE}" pid="25" name="Objective-Section">
    <vt:lpwstr/>
  </property>
  <property fmtid="{D5CDD505-2E9C-101B-9397-08002B2CF9AE}" pid="26" name="Objective-Document Type">
    <vt:lpwstr>Discussion Paper</vt:lpwstr>
  </property>
  <property fmtid="{D5CDD505-2E9C-101B-9397-08002B2CF9AE}" pid="27" name="Objective-Security Classification">
    <vt:lpwstr>02 Official</vt:lpwstr>
  </property>
  <property fmtid="{D5CDD505-2E9C-101B-9397-08002B2CF9AE}" pid="28" name="Objective-Access Use Conditions">
    <vt:lpwstr/>
  </property>
  <property fmtid="{D5CDD505-2E9C-101B-9397-08002B2CF9AE}" pid="29" name="Objective-Connect Creator">
    <vt:lpwstr/>
  </property>
  <property fmtid="{D5CDD505-2E9C-101B-9397-08002B2CF9AE}" pid="30" name="Objective-Customer Person">
    <vt:lpwstr/>
  </property>
  <property fmtid="{D5CDD505-2E9C-101B-9397-08002B2CF9AE}" pid="31" name="Objective-Customer Organisation">
    <vt:lpwstr/>
  </property>
  <property fmtid="{D5CDD505-2E9C-101B-9397-08002B2CF9AE}" pid="32" name="Objective-Transaction Reference">
    <vt:lpwstr/>
  </property>
  <property fmtid="{D5CDD505-2E9C-101B-9397-08002B2CF9AE}" pid="33" name="Objective-Place Name">
    <vt:lpwstr/>
  </property>
  <property fmtid="{D5CDD505-2E9C-101B-9397-08002B2CF9AE}" pid="34" name="Objective-Description or Summary">
    <vt:lpwstr/>
  </property>
  <property fmtid="{D5CDD505-2E9C-101B-9397-08002B2CF9AE}" pid="35" name="Objective-Date Document Created">
    <vt:lpwstr/>
  </property>
  <property fmtid="{D5CDD505-2E9C-101B-9397-08002B2CF9AE}" pid="36" name="Objective-Document Created By">
    <vt:lpwstr/>
  </property>
  <property fmtid="{D5CDD505-2E9C-101B-9397-08002B2CF9AE}" pid="37" name="Objective-Date Source Document Scanned">
    <vt:lpwstr/>
  </property>
  <property fmtid="{D5CDD505-2E9C-101B-9397-08002B2CF9AE}" pid="38" name="Objective-Source Document Disposal Status">
    <vt:lpwstr/>
  </property>
  <property fmtid="{D5CDD505-2E9C-101B-9397-08002B2CF9AE}" pid="39" name="Objective-Date Temporary Value Source Document Destroyed">
    <vt:lpwstr/>
  </property>
  <property fmtid="{D5CDD505-2E9C-101B-9397-08002B2CF9AE}" pid="40" name="Objective-Date Received">
    <vt:lpwstr/>
  </property>
  <property fmtid="{D5CDD505-2E9C-101B-9397-08002B2CF9AE}" pid="41" name="Objective-Action Delegator">
    <vt:lpwstr/>
  </property>
  <property fmtid="{D5CDD505-2E9C-101B-9397-08002B2CF9AE}" pid="42" name="Objective-Action Officer">
    <vt:lpwstr/>
  </property>
  <property fmtid="{D5CDD505-2E9C-101B-9397-08002B2CF9AE}" pid="43" name="Objective-Action Required">
    <vt:lpwstr/>
  </property>
  <property fmtid="{D5CDD505-2E9C-101B-9397-08002B2CF9AE}" pid="44" name="Objective-Date Action Due By">
    <vt:lpwstr/>
  </property>
  <property fmtid="{D5CDD505-2E9C-101B-9397-08002B2CF9AE}" pid="45" name="Objective-Date Action Assigned">
    <vt:lpwstr/>
  </property>
  <property fmtid="{D5CDD505-2E9C-101B-9397-08002B2CF9AE}" pid="46" name="Objective-Action Approved by">
    <vt:lpwstr/>
  </property>
  <property fmtid="{D5CDD505-2E9C-101B-9397-08002B2CF9AE}" pid="47" name="Objective-Date Action Approved">
    <vt:lpwstr/>
  </property>
  <property fmtid="{D5CDD505-2E9C-101B-9397-08002B2CF9AE}" pid="48" name="Objective-Date Interim Reply Sent">
    <vt:lpwstr/>
  </property>
  <property fmtid="{D5CDD505-2E9C-101B-9397-08002B2CF9AE}" pid="49" name="Objective-Date Final Reply Sent">
    <vt:lpwstr/>
  </property>
  <property fmtid="{D5CDD505-2E9C-101B-9397-08002B2CF9AE}" pid="50" name="Objective-Date_Completed_On">
    <vt:lpwstr/>
  </property>
  <property fmtid="{D5CDD505-2E9C-101B-9397-08002B2CF9AE}" pid="51" name="Objective-Intranet_Publishing_Requestor">
    <vt:lpwstr/>
  </property>
  <property fmtid="{D5CDD505-2E9C-101B-9397-08002B2CF9AE}" pid="52" name="Objective-Intranet_Publishing_Requestor_Email">
    <vt:lpwstr/>
  </property>
  <property fmtid="{D5CDD505-2E9C-101B-9397-08002B2CF9AE}" pid="53" name="Objective-Intranet Publisher">
    <vt:lpwstr>CORP ICT Intranet Publishing General Document Workflow Group</vt:lpwstr>
  </property>
  <property fmtid="{D5CDD505-2E9C-101B-9397-08002B2CF9AE}" pid="54" name="Objective-Intranet_Publisher_Contact">
    <vt:lpwstr/>
  </property>
  <property fmtid="{D5CDD505-2E9C-101B-9397-08002B2CF9AE}" pid="55" name="Objective-Intranet_Publisher_Email">
    <vt:lpwstr/>
  </property>
  <property fmtid="{D5CDD505-2E9C-101B-9397-08002B2CF9AE}" pid="56" name="Objective-Intranet_Display_Name">
    <vt:lpwstr/>
  </property>
  <property fmtid="{D5CDD505-2E9C-101B-9397-08002B2CF9AE}" pid="57" name="Objective-Free Text Subjects">
    <vt:lpwstr/>
  </property>
  <property fmtid="{D5CDD505-2E9C-101B-9397-08002B2CF9AE}" pid="58" name="Objective-Intranet_Publishing_Requirement">
    <vt:lpwstr/>
  </property>
  <property fmtid="{D5CDD505-2E9C-101B-9397-08002B2CF9AE}" pid="59" name="Objective-Intranet_Publishing_Instructions">
    <vt:lpwstr/>
  </property>
  <property fmtid="{D5CDD505-2E9C-101B-9397-08002B2CF9AE}" pid="60" name="Objective-Document Published Version URL Link">
    <vt:lpwstr>https://objectivesag.pirsa.sa.gov.au/id:A4533543/document/versions/published</vt:lpwstr>
  </property>
  <property fmtid="{D5CDD505-2E9C-101B-9397-08002B2CF9AE}" pid="61" name="Objective-Intranet URL Keyword">
    <vt:lpwstr>%globals_asset_metadata_PublishedURL%</vt:lpwstr>
  </property>
  <property fmtid="{D5CDD505-2E9C-101B-9397-08002B2CF9AE}" pid="62" name="Objective-Intranet Short Name">
    <vt:lpwstr>A4533543</vt:lpwstr>
  </property>
  <property fmtid="{D5CDD505-2E9C-101B-9397-08002B2CF9AE}" pid="63" name="Objective-Intranet_Publishing_Metadata_Schema">
    <vt:lpwstr>73217</vt:lpwstr>
  </property>
  <property fmtid="{D5CDD505-2E9C-101B-9397-08002B2CF9AE}" pid="64" name="Objective-Intranet_Publishing_CSV_File_Operation">
    <vt:lpwstr>E</vt:lpwstr>
  </property>
  <property fmtid="{D5CDD505-2E9C-101B-9397-08002B2CF9AE}" pid="65" name="Objective-Intranet_Asset_ID">
    <vt:lpwstr/>
  </property>
  <property fmtid="{D5CDD505-2E9C-101B-9397-08002B2CF9AE}" pid="66" name="Objective-Date_Intranet_Link_Published">
    <vt:lpwstr/>
  </property>
  <property fmtid="{D5CDD505-2E9C-101B-9397-08002B2CF9AE}" pid="67" name="Objective-Date_Intranet_Link_Next_Review_Due">
    <vt:lpwstr/>
  </property>
  <property fmtid="{D5CDD505-2E9C-101B-9397-08002B2CF9AE}" pid="68" name="Objective-Date_Intranet_Link_Removed">
    <vt:lpwstr/>
  </property>
  <property fmtid="{D5CDD505-2E9C-101B-9397-08002B2CF9AE}" pid="69" name="Objective-Internet Publishing Requestor">
    <vt:lpwstr/>
  </property>
  <property fmtid="{D5CDD505-2E9C-101B-9397-08002B2CF9AE}" pid="70" name="Objective-Internet Publishing Requestor Email">
    <vt:lpwstr/>
  </property>
  <property fmtid="{D5CDD505-2E9C-101B-9397-08002B2CF9AE}" pid="71" name="Objective-Internet Publisher Group">
    <vt:lpwstr>CORP ICT Internet Website Publishing Workflow Group</vt:lpwstr>
  </property>
  <property fmtid="{D5CDD505-2E9C-101B-9397-08002B2CF9AE}" pid="72" name="Objective-Internet Publisher Contact">
    <vt:lpwstr>publish, webpublish</vt:lpwstr>
  </property>
  <property fmtid="{D5CDD505-2E9C-101B-9397-08002B2CF9AE}" pid="73" name="Objective-Internet Publisher Email">
    <vt:lpwstr>PIRSA.Webpublish@sa.gov.au</vt:lpwstr>
  </property>
  <property fmtid="{D5CDD505-2E9C-101B-9397-08002B2CF9AE}" pid="74" name="Objective-Internet Friendly Name">
    <vt:lpwstr/>
  </property>
  <property fmtid="{D5CDD505-2E9C-101B-9397-08002B2CF9AE}" pid="75" name="Objective-Internet Document Type">
    <vt:lpwstr/>
  </property>
  <property fmtid="{D5CDD505-2E9C-101B-9397-08002B2CF9AE}" pid="76" name="Objective-Internet Publishing Requirement">
    <vt:lpwstr/>
  </property>
  <property fmtid="{D5CDD505-2E9C-101B-9397-08002B2CF9AE}" pid="77" name="Objective-Internet Publishing Instructions or Page URI">
    <vt:lpwstr/>
  </property>
  <property fmtid="{D5CDD505-2E9C-101B-9397-08002B2CF9AE}" pid="78" name="Objective-Date Document Released">
    <vt:lpwstr/>
  </property>
  <property fmtid="{D5CDD505-2E9C-101B-9397-08002B2CF9AE}" pid="79" name="Objective-Abstract">
    <vt:lpwstr/>
  </property>
  <property fmtid="{D5CDD505-2E9C-101B-9397-08002B2CF9AE}" pid="80" name="Objective-External Link">
    <vt:lpwstr/>
  </property>
  <property fmtid="{D5CDD505-2E9C-101B-9397-08002B2CF9AE}" pid="81" name="Objective-Publish Metadata Only">
    <vt:lpwstr>No</vt:lpwstr>
  </property>
  <property fmtid="{D5CDD505-2E9C-101B-9397-08002B2CF9AE}" pid="82" name="Objective-Generate PDF Rendition">
    <vt:lpwstr>No</vt:lpwstr>
  </property>
  <property fmtid="{D5CDD505-2E9C-101B-9397-08002B2CF9AE}" pid="83" name="Objective-Rendition Object ID">
    <vt:lpwstr/>
  </property>
  <property fmtid="{D5CDD505-2E9C-101B-9397-08002B2CF9AE}" pid="84" name="Objective-Rendition Document Extension">
    <vt:lpwstr/>
  </property>
  <property fmtid="{D5CDD505-2E9C-101B-9397-08002B2CF9AE}" pid="85" name="Objective-Accessibility Reviewed">
    <vt:lpwstr/>
  </property>
  <property fmtid="{D5CDD505-2E9C-101B-9397-08002B2CF9AE}" pid="86" name="Objective-Accessibility Review Notes">
    <vt:lpwstr/>
  </property>
  <property fmtid="{D5CDD505-2E9C-101B-9397-08002B2CF9AE}" pid="87" name="Objective-Collection or Program Title">
    <vt:lpwstr/>
  </property>
  <property fmtid="{D5CDD505-2E9C-101B-9397-08002B2CF9AE}" pid="88" name="Objective-Sub Collection or Item ID">
    <vt:lpwstr/>
  </property>
  <property fmtid="{D5CDD505-2E9C-101B-9397-08002B2CF9AE}" pid="89" name="Objective-Date Internet Document &amp; CSV File Published on Website">
    <vt:lpwstr/>
  </property>
  <property fmtid="{D5CDD505-2E9C-101B-9397-08002B2CF9AE}" pid="90" name="Objective-Date Internet Document &amp; CSV File Next Review Due">
    <vt:lpwstr/>
  </property>
  <property fmtid="{D5CDD505-2E9C-101B-9397-08002B2CF9AE}" pid="91" name="Objective-Date Internet Document &amp; CSV File Removed from Website">
    <vt:lpwstr/>
  </property>
  <property fmtid="{D5CDD505-2E9C-101B-9397-08002B2CF9AE}" pid="92" name="Objective-Internet Publishing CSV File Operation">
    <vt:lpwstr>A</vt:lpwstr>
  </property>
  <property fmtid="{D5CDD505-2E9C-101B-9397-08002B2CF9AE}" pid="93" name="Objective-Covers Period From">
    <vt:lpwstr/>
  </property>
  <property fmtid="{D5CDD505-2E9C-101B-9397-08002B2CF9AE}" pid="94" name="Objective-Covers Period To">
    <vt:lpwstr/>
  </property>
  <property fmtid="{D5CDD505-2E9C-101B-9397-08002B2CF9AE}" pid="95" name="Objective-Access Rights">
    <vt:lpwstr>Closed</vt:lpwstr>
  </property>
  <property fmtid="{D5CDD505-2E9C-101B-9397-08002B2CF9AE}" pid="96" name="Objective-Vital_Record_Indicator">
    <vt:lpwstr>No</vt:lpwstr>
  </property>
  <property fmtid="{D5CDD505-2E9C-101B-9397-08002B2CF9AE}" pid="97" name="Objective-Access Security Review Due Date">
    <vt:lpwstr/>
  </property>
  <property fmtid="{D5CDD505-2E9C-101B-9397-08002B2CF9AE}" pid="98" name="Objective-Vital Records Review Due Date">
    <vt:lpwstr/>
  </property>
  <property fmtid="{D5CDD505-2E9C-101B-9397-08002B2CF9AE}" pid="99" name="Objective-Internal Reference">
    <vt:lpwstr/>
  </property>
  <property fmtid="{D5CDD505-2E9C-101B-9397-08002B2CF9AE}" pid="100" name="Objective-Media_Storage_Format">
    <vt:lpwstr>Text</vt:lpwstr>
  </property>
  <property fmtid="{D5CDD505-2E9C-101B-9397-08002B2CF9AE}" pid="101" name="Objective-Jurisdiction">
    <vt:lpwstr>SA</vt:lpwstr>
  </property>
  <property fmtid="{D5CDD505-2E9C-101B-9397-08002B2CF9AE}" pid="102" name="Objective-Language">
    <vt:lpwstr>English (en)</vt:lpwstr>
  </property>
  <property fmtid="{D5CDD505-2E9C-101B-9397-08002B2CF9AE}" pid="103" name="Objective-Intellectual_Property_Rights">
    <vt:lpwstr>SA Government</vt:lpwstr>
  </property>
  <property fmtid="{D5CDD505-2E9C-101B-9397-08002B2CF9AE}" pid="104" name="Objective-Date Emailed to DPC">
    <vt:lpwstr/>
  </property>
  <property fmtid="{D5CDD505-2E9C-101B-9397-08002B2CF9AE}" pid="105" name="Objective-Date Emailed to DTF">
    <vt:lpwstr/>
  </property>
  <property fmtid="{D5CDD505-2E9C-101B-9397-08002B2CF9AE}" pid="106" name="Objective-Date Emailed to Ministers Office">
    <vt:lpwstr/>
  </property>
  <property fmtid="{D5CDD505-2E9C-101B-9397-08002B2CF9AE}" pid="107" name="Objective-Disposal Reasons">
    <vt:lpwstr/>
  </property>
  <property fmtid="{D5CDD505-2E9C-101B-9397-08002B2CF9AE}" pid="108" name="Objective-Date to be Exported">
    <vt:lpwstr/>
  </property>
  <property fmtid="{D5CDD505-2E9C-101B-9397-08002B2CF9AE}" pid="109" name="Objective-Used By System Admin Only">
    <vt:lpwstr/>
  </property>
  <property fmtid="{D5CDD505-2E9C-101B-9397-08002B2CF9AE}" pid="110" name="Objective-Old Agency">
    <vt:lpwstr/>
  </property>
  <property fmtid="{D5CDD505-2E9C-101B-9397-08002B2CF9AE}" pid="111" name="Objective-Old Business Division">
    <vt:lpwstr/>
  </property>
  <property fmtid="{D5CDD505-2E9C-101B-9397-08002B2CF9AE}" pid="112" name="Objective-Old Workgroup">
    <vt:lpwstr/>
  </property>
  <property fmtid="{D5CDD505-2E9C-101B-9397-08002B2CF9AE}" pid="113" name="Objective-Old Section">
    <vt:lpwstr/>
  </property>
  <property fmtid="{D5CDD505-2E9C-101B-9397-08002B2CF9AE}" pid="114" name="Objective-Comment">
    <vt:lpwstr/>
  </property>
  <property fmtid="{D5CDD505-2E9C-101B-9397-08002B2CF9AE}" pid="115" name="Objective-Agency [system]">
    <vt:lpwstr>Primary Industries and Regions SA</vt:lpwstr>
  </property>
  <property fmtid="{D5CDD505-2E9C-101B-9397-08002B2CF9AE}" pid="116" name="Objective-Business Division [system]">
    <vt:lpwstr>Fisheries &amp; Aquaculture F&amp;A</vt:lpwstr>
  </property>
  <property fmtid="{D5CDD505-2E9C-101B-9397-08002B2CF9AE}" pid="117" name="Objective-Workgroup [system]">
    <vt:lpwstr>F&amp;A Fisheries Policy Team</vt:lpwstr>
  </property>
  <property fmtid="{D5CDD505-2E9C-101B-9397-08002B2CF9AE}" pid="118" name="Objective-Section [system]">
    <vt:lpwstr/>
  </property>
  <property fmtid="{D5CDD505-2E9C-101B-9397-08002B2CF9AE}" pid="119" name="Objective-Document Type [system]">
    <vt:lpwstr>Discussion Paper</vt:lpwstr>
  </property>
  <property fmtid="{D5CDD505-2E9C-101B-9397-08002B2CF9AE}" pid="120" name="Objective-Security Classification [system]">
    <vt:lpwstr>02 Official</vt:lpwstr>
  </property>
  <property fmtid="{D5CDD505-2E9C-101B-9397-08002B2CF9AE}" pid="121" name="Objective-Access Use Conditions [system]">
    <vt:lpwstr/>
  </property>
  <property fmtid="{D5CDD505-2E9C-101B-9397-08002B2CF9AE}" pid="122" name="Objective-Connect Creator [system]">
    <vt:lpwstr/>
  </property>
  <property fmtid="{D5CDD505-2E9C-101B-9397-08002B2CF9AE}" pid="123" name="Objective-Customer Person [system]">
    <vt:lpwstr/>
  </property>
  <property fmtid="{D5CDD505-2E9C-101B-9397-08002B2CF9AE}" pid="124" name="Objective-Customer Organisation [system]">
    <vt:lpwstr/>
  </property>
  <property fmtid="{D5CDD505-2E9C-101B-9397-08002B2CF9AE}" pid="125" name="Objective-Transaction Reference [system]">
    <vt:lpwstr/>
  </property>
  <property fmtid="{D5CDD505-2E9C-101B-9397-08002B2CF9AE}" pid="126" name="Objective-Place Name [system]">
    <vt:lpwstr/>
  </property>
  <property fmtid="{D5CDD505-2E9C-101B-9397-08002B2CF9AE}" pid="127" name="Objective-Description or Summary [system]">
    <vt:lpwstr/>
  </property>
  <property fmtid="{D5CDD505-2E9C-101B-9397-08002B2CF9AE}" pid="128" name="Objective-Date Document Created [system]">
    <vt:lpwstr/>
  </property>
  <property fmtid="{D5CDD505-2E9C-101B-9397-08002B2CF9AE}" pid="129" name="Objective-Document Created By [system]">
    <vt:lpwstr/>
  </property>
  <property fmtid="{D5CDD505-2E9C-101B-9397-08002B2CF9AE}" pid="130" name="Objective-Date Source Document Scanned [system]">
    <vt:lpwstr/>
  </property>
  <property fmtid="{D5CDD505-2E9C-101B-9397-08002B2CF9AE}" pid="131" name="Objective-Source Document Disposal Status [system]">
    <vt:lpwstr/>
  </property>
  <property fmtid="{D5CDD505-2E9C-101B-9397-08002B2CF9AE}" pid="132" name="Objective-Date Temporary Value Source Document Destroyed [system]">
    <vt:lpwstr/>
  </property>
  <property fmtid="{D5CDD505-2E9C-101B-9397-08002B2CF9AE}" pid="133" name="Objective-Date Received [system]">
    <vt:lpwstr/>
  </property>
  <property fmtid="{D5CDD505-2E9C-101B-9397-08002B2CF9AE}" pid="134" name="Objective-Action Delegator [system]">
    <vt:lpwstr/>
  </property>
  <property fmtid="{D5CDD505-2E9C-101B-9397-08002B2CF9AE}" pid="135" name="Objective-Action Officer [system]">
    <vt:lpwstr/>
  </property>
  <property fmtid="{D5CDD505-2E9C-101B-9397-08002B2CF9AE}" pid="136" name="Objective-Action Required [system]">
    <vt:lpwstr/>
  </property>
  <property fmtid="{D5CDD505-2E9C-101B-9397-08002B2CF9AE}" pid="137" name="Objective-Date Action Due By [system]">
    <vt:lpwstr/>
  </property>
  <property fmtid="{D5CDD505-2E9C-101B-9397-08002B2CF9AE}" pid="138" name="Objective-Date Action Assigned [system]">
    <vt:lpwstr/>
  </property>
  <property fmtid="{D5CDD505-2E9C-101B-9397-08002B2CF9AE}" pid="139" name="Objective-Action Approved by [system]">
    <vt:lpwstr/>
  </property>
  <property fmtid="{D5CDD505-2E9C-101B-9397-08002B2CF9AE}" pid="140" name="Objective-Date Action Approved [system]">
    <vt:lpwstr/>
  </property>
  <property fmtid="{D5CDD505-2E9C-101B-9397-08002B2CF9AE}" pid="141" name="Objective-Date Interim Reply Sent [system]">
    <vt:lpwstr/>
  </property>
  <property fmtid="{D5CDD505-2E9C-101B-9397-08002B2CF9AE}" pid="142" name="Objective-Date Final Reply Sent [system]">
    <vt:lpwstr/>
  </property>
  <property fmtid="{D5CDD505-2E9C-101B-9397-08002B2CF9AE}" pid="143" name="Objective-Date_Completed_On [system]">
    <vt:lpwstr/>
  </property>
  <property fmtid="{D5CDD505-2E9C-101B-9397-08002B2CF9AE}" pid="144" name="Objective-Intranet_Publishing_Requestor [system]">
    <vt:lpwstr/>
  </property>
  <property fmtid="{D5CDD505-2E9C-101B-9397-08002B2CF9AE}" pid="145" name="Objective-Intranet_Publishing_Requestor_Email [system]">
    <vt:lpwstr/>
  </property>
  <property fmtid="{D5CDD505-2E9C-101B-9397-08002B2CF9AE}" pid="146" name="Objective-Intranet Publisher [system]">
    <vt:lpwstr>CORP ICT Intranet Publishing General Document Workflow Group</vt:lpwstr>
  </property>
  <property fmtid="{D5CDD505-2E9C-101B-9397-08002B2CF9AE}" pid="147" name="Objective-Intranet_Publisher_Contact [system]">
    <vt:lpwstr/>
  </property>
  <property fmtid="{D5CDD505-2E9C-101B-9397-08002B2CF9AE}" pid="148" name="Objective-Intranet_Publisher_Email [system]">
    <vt:lpwstr/>
  </property>
  <property fmtid="{D5CDD505-2E9C-101B-9397-08002B2CF9AE}" pid="149" name="Objective-Intranet_Display_Name [system]">
    <vt:lpwstr/>
  </property>
  <property fmtid="{D5CDD505-2E9C-101B-9397-08002B2CF9AE}" pid="150" name="Objective-Free Text Subjects [system]">
    <vt:lpwstr/>
  </property>
  <property fmtid="{D5CDD505-2E9C-101B-9397-08002B2CF9AE}" pid="151" name="Objective-Intranet_Publishing_Requirement [system]">
    <vt:lpwstr/>
  </property>
  <property fmtid="{D5CDD505-2E9C-101B-9397-08002B2CF9AE}" pid="152" name="Objective-Intranet_Publishing_Instructions [system]">
    <vt:lpwstr/>
  </property>
  <property fmtid="{D5CDD505-2E9C-101B-9397-08002B2CF9AE}" pid="153" name="Objective-Document Published Version URL Link [system]">
    <vt:lpwstr>https://objectivesag.pirsa.sa.gov.au/id:A4533543/document/versions/published</vt:lpwstr>
  </property>
  <property fmtid="{D5CDD505-2E9C-101B-9397-08002B2CF9AE}" pid="154" name="Objective-Intranet URL Keyword [system]">
    <vt:lpwstr>%globals_asset_metadata_PublishedURL%</vt:lpwstr>
  </property>
  <property fmtid="{D5CDD505-2E9C-101B-9397-08002B2CF9AE}" pid="155" name="Objective-Intranet Short Name [system]">
    <vt:lpwstr>A4533543</vt:lpwstr>
  </property>
  <property fmtid="{D5CDD505-2E9C-101B-9397-08002B2CF9AE}" pid="156" name="Objective-Intranet_Publishing_Metadata_Schema [system]">
    <vt:lpwstr>73217</vt:lpwstr>
  </property>
  <property fmtid="{D5CDD505-2E9C-101B-9397-08002B2CF9AE}" pid="157" name="Objective-Intranet_Publishing_CSV_File_Operation [system]">
    <vt:lpwstr>E</vt:lpwstr>
  </property>
  <property fmtid="{D5CDD505-2E9C-101B-9397-08002B2CF9AE}" pid="158" name="Objective-Intranet_Asset_ID [system]">
    <vt:lpwstr/>
  </property>
  <property fmtid="{D5CDD505-2E9C-101B-9397-08002B2CF9AE}" pid="159" name="Objective-Date_Intranet_Link_Published [system]">
    <vt:lpwstr/>
  </property>
  <property fmtid="{D5CDD505-2E9C-101B-9397-08002B2CF9AE}" pid="160" name="Objective-Date_Intranet_Link_Next_Review_Due [system]">
    <vt:lpwstr/>
  </property>
  <property fmtid="{D5CDD505-2E9C-101B-9397-08002B2CF9AE}" pid="161" name="Objective-Date_Intranet_Link_Removed [system]">
    <vt:lpwstr/>
  </property>
  <property fmtid="{D5CDD505-2E9C-101B-9397-08002B2CF9AE}" pid="162" name="Objective-Internet Publishing Requestor [system]">
    <vt:lpwstr/>
  </property>
  <property fmtid="{D5CDD505-2E9C-101B-9397-08002B2CF9AE}" pid="163" name="Objective-Internet Publishing Requestor Email [system]">
    <vt:lpwstr/>
  </property>
  <property fmtid="{D5CDD505-2E9C-101B-9397-08002B2CF9AE}" pid="164" name="Objective-Internet Publisher Group [system]">
    <vt:lpwstr>CORP ICT Internet Website Publishing Workflow Group</vt:lpwstr>
  </property>
  <property fmtid="{D5CDD505-2E9C-101B-9397-08002B2CF9AE}" pid="165" name="Objective-Internet Publisher Contact [system]">
    <vt:lpwstr>publish, webpublish</vt:lpwstr>
  </property>
  <property fmtid="{D5CDD505-2E9C-101B-9397-08002B2CF9AE}" pid="166" name="Objective-Internet Publisher Email [system]">
    <vt:lpwstr>PIRSA.Webpublish@sa.gov.au</vt:lpwstr>
  </property>
  <property fmtid="{D5CDD505-2E9C-101B-9397-08002B2CF9AE}" pid="167" name="Objective-Internet Friendly Name [system]">
    <vt:lpwstr/>
  </property>
  <property fmtid="{D5CDD505-2E9C-101B-9397-08002B2CF9AE}" pid="168" name="Objective-Internet Document Type [system]">
    <vt:lpwstr/>
  </property>
  <property fmtid="{D5CDD505-2E9C-101B-9397-08002B2CF9AE}" pid="169" name="Objective-Internet Publishing Requirement [system]">
    <vt:lpwstr/>
  </property>
  <property fmtid="{D5CDD505-2E9C-101B-9397-08002B2CF9AE}" pid="170" name="Objective-Internet Publishing Instructions or Page URI [system]">
    <vt:lpwstr/>
  </property>
  <property fmtid="{D5CDD505-2E9C-101B-9397-08002B2CF9AE}" pid="171" name="Objective-Date Document Released [system]">
    <vt:lpwstr/>
  </property>
  <property fmtid="{D5CDD505-2E9C-101B-9397-08002B2CF9AE}" pid="172" name="Objective-Abstract [system]">
    <vt:lpwstr/>
  </property>
  <property fmtid="{D5CDD505-2E9C-101B-9397-08002B2CF9AE}" pid="173" name="Objective-External Link [system]">
    <vt:lpwstr/>
  </property>
  <property fmtid="{D5CDD505-2E9C-101B-9397-08002B2CF9AE}" pid="174" name="Objective-Publish Metadata Only [system]">
    <vt:lpwstr>No</vt:lpwstr>
  </property>
  <property fmtid="{D5CDD505-2E9C-101B-9397-08002B2CF9AE}" pid="175" name="Objective-Generate PDF Rendition [system]">
    <vt:lpwstr>No</vt:lpwstr>
  </property>
  <property fmtid="{D5CDD505-2E9C-101B-9397-08002B2CF9AE}" pid="176" name="Objective-Rendition Object ID [system]">
    <vt:lpwstr/>
  </property>
  <property fmtid="{D5CDD505-2E9C-101B-9397-08002B2CF9AE}" pid="177" name="Objective-Rendition Document Extension [system]">
    <vt:lpwstr/>
  </property>
  <property fmtid="{D5CDD505-2E9C-101B-9397-08002B2CF9AE}" pid="178" name="Objective-Accessibility Reviewed [system]">
    <vt:lpwstr/>
  </property>
  <property fmtid="{D5CDD505-2E9C-101B-9397-08002B2CF9AE}" pid="179" name="Objective-Accessibility Review Notes [system]">
    <vt:lpwstr/>
  </property>
  <property fmtid="{D5CDD505-2E9C-101B-9397-08002B2CF9AE}" pid="180" name="Objective-Collection or Program Title [system]">
    <vt:lpwstr/>
  </property>
  <property fmtid="{D5CDD505-2E9C-101B-9397-08002B2CF9AE}" pid="181" name="Objective-Sub Collection or Item ID [system]">
    <vt:lpwstr/>
  </property>
  <property fmtid="{D5CDD505-2E9C-101B-9397-08002B2CF9AE}" pid="182" name="Objective-Date Internet Document &amp; CSV File Published on Website [system]">
    <vt:lpwstr/>
  </property>
  <property fmtid="{D5CDD505-2E9C-101B-9397-08002B2CF9AE}" pid="183" name="Objective-Date Internet Document &amp; CSV File Next Review Due [system]">
    <vt:lpwstr/>
  </property>
  <property fmtid="{D5CDD505-2E9C-101B-9397-08002B2CF9AE}" pid="184" name="Objective-Date Internet Document &amp; CSV File Removed from Website [system]">
    <vt:lpwstr/>
  </property>
  <property fmtid="{D5CDD505-2E9C-101B-9397-08002B2CF9AE}" pid="185" name="Objective-Internet Publishing CSV File Operation [system]">
    <vt:lpwstr>A</vt:lpwstr>
  </property>
  <property fmtid="{D5CDD505-2E9C-101B-9397-08002B2CF9AE}" pid="186" name="Objective-Covers Period From [system]">
    <vt:lpwstr/>
  </property>
  <property fmtid="{D5CDD505-2E9C-101B-9397-08002B2CF9AE}" pid="187" name="Objective-Covers Period To [system]">
    <vt:lpwstr/>
  </property>
  <property fmtid="{D5CDD505-2E9C-101B-9397-08002B2CF9AE}" pid="188" name="Objective-Access Rights [system]">
    <vt:lpwstr>Closed</vt:lpwstr>
  </property>
  <property fmtid="{D5CDD505-2E9C-101B-9397-08002B2CF9AE}" pid="189" name="Objective-Vital_Record_Indicator [system]">
    <vt:lpwstr>No</vt:lpwstr>
  </property>
  <property fmtid="{D5CDD505-2E9C-101B-9397-08002B2CF9AE}" pid="190" name="Objective-Access Security Review Due Date [system]">
    <vt:lpwstr/>
  </property>
  <property fmtid="{D5CDD505-2E9C-101B-9397-08002B2CF9AE}" pid="191" name="Objective-Vital Records Review Due Date [system]">
    <vt:lpwstr/>
  </property>
  <property fmtid="{D5CDD505-2E9C-101B-9397-08002B2CF9AE}" pid="192" name="Objective-Internal Reference [system]">
    <vt:lpwstr/>
  </property>
  <property fmtid="{D5CDD505-2E9C-101B-9397-08002B2CF9AE}" pid="193" name="Objective-Media_Storage_Format [system]">
    <vt:lpwstr>Text</vt:lpwstr>
  </property>
  <property fmtid="{D5CDD505-2E9C-101B-9397-08002B2CF9AE}" pid="194" name="Objective-Jurisdiction [system]">
    <vt:lpwstr>SA</vt:lpwstr>
  </property>
  <property fmtid="{D5CDD505-2E9C-101B-9397-08002B2CF9AE}" pid="195" name="Objective-Language [system]">
    <vt:lpwstr>English (en)</vt:lpwstr>
  </property>
  <property fmtid="{D5CDD505-2E9C-101B-9397-08002B2CF9AE}" pid="196" name="Objective-Intellectual_Property_Rights [system]">
    <vt:lpwstr>SA Government</vt:lpwstr>
  </property>
  <property fmtid="{D5CDD505-2E9C-101B-9397-08002B2CF9AE}" pid="197" name="Objective-Date Emailed to DPC [system]">
    <vt:lpwstr/>
  </property>
  <property fmtid="{D5CDD505-2E9C-101B-9397-08002B2CF9AE}" pid="198" name="Objective-Date Emailed to DTF [system]">
    <vt:lpwstr/>
  </property>
  <property fmtid="{D5CDD505-2E9C-101B-9397-08002B2CF9AE}" pid="199" name="Objective-Date Emailed to Ministers Office [system]">
    <vt:lpwstr/>
  </property>
  <property fmtid="{D5CDD505-2E9C-101B-9397-08002B2CF9AE}" pid="200" name="Objective-Disposal Reasons [system]">
    <vt:lpwstr/>
  </property>
  <property fmtid="{D5CDD505-2E9C-101B-9397-08002B2CF9AE}" pid="201" name="Objective-Date to be Exported [system]">
    <vt:lpwstr/>
  </property>
  <property fmtid="{D5CDD505-2E9C-101B-9397-08002B2CF9AE}" pid="202" name="Objective-Used By System Admin Only [system]">
    <vt:lpwstr/>
  </property>
  <property fmtid="{D5CDD505-2E9C-101B-9397-08002B2CF9AE}" pid="203" name="Objective-Old Agency [system]">
    <vt:lpwstr/>
  </property>
  <property fmtid="{D5CDD505-2E9C-101B-9397-08002B2CF9AE}" pid="204" name="Objective-Old Business Division [system]">
    <vt:lpwstr/>
  </property>
  <property fmtid="{D5CDD505-2E9C-101B-9397-08002B2CF9AE}" pid="205" name="Objective-Old Workgroup [system]">
    <vt:lpwstr/>
  </property>
  <property fmtid="{D5CDD505-2E9C-101B-9397-08002B2CF9AE}" pid="206" name="Objective-Old Section [system]">
    <vt:lpwstr/>
  </property>
  <property fmtid="{D5CDD505-2E9C-101B-9397-08002B2CF9AE}" pid="207" name="Objective-Ministerial File">
    <vt:lpwstr/>
  </property>
  <property fmtid="{D5CDD505-2E9C-101B-9397-08002B2CF9AE}" pid="208" name="Objective-Briefing Type">
    <vt:lpwstr>Briefing already created</vt:lpwstr>
  </property>
  <property fmtid="{D5CDD505-2E9C-101B-9397-08002B2CF9AE}" pid="209" name="Objective-Briefing Template">
    <vt:lpwstr>PIRSA Briefing</vt:lpwstr>
  </property>
  <property fmtid="{D5CDD505-2E9C-101B-9397-08002B2CF9AE}" pid="210" name="Objective-File_Divider">
    <vt:lpwstr/>
  </property>
  <property fmtid="{D5CDD505-2E9C-101B-9397-08002B2CF9AE}" pid="211" name="Objective-Requestor Type">
    <vt:lpwstr>Author</vt:lpwstr>
  </property>
  <property fmtid="{D5CDD505-2E9C-101B-9397-08002B2CF9AE}" pid="212" name="Objective-A Number">
    <vt:lpwstr>A4540655</vt:lpwstr>
  </property>
  <property fmtid="{D5CDD505-2E9C-101B-9397-08002B2CF9AE}" pid="213" name="Objective-Final_Scanned_Document">
    <vt:lpwstr/>
  </property>
  <property fmtid="{D5CDD505-2E9C-101B-9397-08002B2CF9AE}" pid="214" name="Objective-Letter Required">
    <vt:lpwstr>No</vt:lpwstr>
  </property>
</Properties>
</file>