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67" w:rsidRPr="004742FD" w:rsidRDefault="009D0F67" w:rsidP="004742FD">
      <w:pPr>
        <w:pStyle w:val="Bodytext0"/>
        <w:shd w:val="clear" w:color="auto" w:fill="auto"/>
        <w:spacing w:after="0" w:line="360" w:lineRule="auto"/>
        <w:ind w:right="20" w:firstLine="0"/>
        <w:jc w:val="left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4742FD">
        <w:rPr>
          <w:rFonts w:ascii="Arial" w:hAnsi="Arial" w:cs="Arial"/>
          <w:b/>
          <w:color w:val="365F91" w:themeColor="accent1" w:themeShade="BF"/>
          <w:sz w:val="32"/>
          <w:szCs w:val="32"/>
        </w:rPr>
        <w:t>WHEAT DELIVERY QUOTAS ACT AMENDMENT BILL</w:t>
      </w:r>
      <w:r w:rsidR="004742FD" w:rsidRPr="004742FD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1973</w:t>
      </w:r>
    </w:p>
    <w:p w:rsidR="004742FD" w:rsidRDefault="004742FD" w:rsidP="004742FD">
      <w:pPr>
        <w:pStyle w:val="Bodytext0"/>
        <w:shd w:val="clear" w:color="auto" w:fill="auto"/>
        <w:spacing w:after="0" w:line="360" w:lineRule="auto"/>
        <w:ind w:right="20" w:firstLine="0"/>
        <w:jc w:val="left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4742FD"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Assembly, 22 November 1973, page 1936</w:t>
      </w:r>
    </w:p>
    <w:p w:rsidR="009D0F67" w:rsidRPr="004742FD" w:rsidRDefault="009D0F67" w:rsidP="004742FD">
      <w:pPr>
        <w:pStyle w:val="Bodytext0"/>
        <w:shd w:val="clear" w:color="auto" w:fill="auto"/>
        <w:spacing w:after="0" w:line="360" w:lineRule="auto"/>
        <w:ind w:right="20" w:firstLine="0"/>
        <w:jc w:val="left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4742FD">
        <w:rPr>
          <w:rFonts w:ascii="Arial" w:hAnsi="Arial" w:cs="Arial"/>
          <w:color w:val="365F91" w:themeColor="accent1" w:themeShade="BF"/>
          <w:sz w:val="28"/>
          <w:szCs w:val="28"/>
        </w:rPr>
        <w:t>Second reading.</w:t>
      </w:r>
    </w:p>
    <w:p w:rsidR="004742FD" w:rsidRDefault="004742FD" w:rsidP="009D0F67">
      <w:pPr>
        <w:pStyle w:val="Bodytext0"/>
        <w:shd w:val="clear" w:color="auto" w:fill="auto"/>
        <w:spacing w:after="0"/>
        <w:ind w:left="20" w:firstLine="180"/>
      </w:pPr>
    </w:p>
    <w:p w:rsidR="009D0F67" w:rsidRPr="004742FD" w:rsidRDefault="009D0F67" w:rsidP="004742FD">
      <w:pPr>
        <w:pStyle w:val="Bodytext0"/>
        <w:shd w:val="clear" w:color="auto" w:fill="auto"/>
        <w:spacing w:after="0" w:line="276" w:lineRule="auto"/>
        <w:ind w:left="20" w:right="20" w:hanging="20"/>
        <w:rPr>
          <w:rFonts w:ascii="Arial" w:hAnsi="Arial" w:cs="Arial"/>
          <w:sz w:val="24"/>
          <w:szCs w:val="24"/>
        </w:rPr>
      </w:pPr>
      <w:r w:rsidRPr="004742FD">
        <w:rPr>
          <w:rFonts w:ascii="Arial" w:hAnsi="Arial" w:cs="Arial"/>
          <w:sz w:val="24"/>
          <w:szCs w:val="24"/>
        </w:rPr>
        <w:t>The Hon. J. D. CORCORAN (Minister of Works): I move:</w:t>
      </w:r>
    </w:p>
    <w:p w:rsidR="009D0F67" w:rsidRDefault="009D0F67" w:rsidP="004742FD">
      <w:pPr>
        <w:pStyle w:val="Bodytext20"/>
        <w:shd w:val="clear" w:color="auto" w:fill="auto"/>
        <w:spacing w:line="276" w:lineRule="auto"/>
        <w:ind w:left="20" w:hanging="20"/>
        <w:rPr>
          <w:rFonts w:ascii="Arial" w:hAnsi="Arial" w:cs="Arial"/>
          <w:sz w:val="24"/>
          <w:szCs w:val="24"/>
        </w:rPr>
      </w:pPr>
      <w:r w:rsidRPr="004742FD">
        <w:rPr>
          <w:rFonts w:ascii="Arial" w:hAnsi="Arial" w:cs="Arial"/>
          <w:sz w:val="24"/>
          <w:szCs w:val="24"/>
        </w:rPr>
        <w:t>That this Bill be now read a second time.</w:t>
      </w:r>
    </w:p>
    <w:p w:rsidR="004742FD" w:rsidRPr="004742FD" w:rsidRDefault="004742FD" w:rsidP="004742FD">
      <w:pPr>
        <w:pStyle w:val="Bodytext20"/>
        <w:shd w:val="clear" w:color="auto" w:fill="auto"/>
        <w:spacing w:line="276" w:lineRule="auto"/>
        <w:ind w:left="20" w:hanging="20"/>
        <w:rPr>
          <w:rFonts w:ascii="Arial" w:hAnsi="Arial" w:cs="Arial"/>
          <w:sz w:val="24"/>
          <w:szCs w:val="24"/>
        </w:rPr>
      </w:pPr>
    </w:p>
    <w:p w:rsidR="009D0F67" w:rsidRPr="004742FD" w:rsidRDefault="009D0F67" w:rsidP="004742FD">
      <w:pPr>
        <w:pStyle w:val="Bodytext0"/>
        <w:shd w:val="clear" w:color="auto" w:fill="auto"/>
        <w:spacing w:after="0" w:line="276" w:lineRule="auto"/>
        <w:ind w:left="20" w:right="20" w:hanging="20"/>
        <w:rPr>
          <w:rFonts w:ascii="Arial" w:hAnsi="Arial" w:cs="Arial"/>
          <w:sz w:val="24"/>
          <w:szCs w:val="24"/>
        </w:rPr>
      </w:pPr>
      <w:r w:rsidRPr="004742FD">
        <w:rPr>
          <w:rFonts w:ascii="Arial" w:hAnsi="Arial" w:cs="Arial"/>
          <w:sz w:val="24"/>
          <w:szCs w:val="24"/>
        </w:rPr>
        <w:t xml:space="preserve">I seek leave to have the second reading explanation inserted in </w:t>
      </w:r>
      <w:r w:rsidRPr="004742FD">
        <w:rPr>
          <w:rStyle w:val="BodytextItalic"/>
          <w:rFonts w:ascii="Arial" w:eastAsia="Courier New" w:hAnsi="Arial" w:cs="Arial"/>
          <w:sz w:val="24"/>
          <w:szCs w:val="24"/>
        </w:rPr>
        <w:t>Hansard</w:t>
      </w:r>
      <w:r w:rsidRPr="004742FD">
        <w:rPr>
          <w:rFonts w:ascii="Arial" w:hAnsi="Arial" w:cs="Arial"/>
          <w:sz w:val="24"/>
          <w:szCs w:val="24"/>
        </w:rPr>
        <w:t xml:space="preserve"> without my reading it.</w:t>
      </w:r>
    </w:p>
    <w:p w:rsidR="009D0F67" w:rsidRPr="004742FD" w:rsidRDefault="009D0F67" w:rsidP="004742FD">
      <w:pPr>
        <w:pStyle w:val="Bodytext0"/>
        <w:shd w:val="clear" w:color="auto" w:fill="auto"/>
        <w:spacing w:after="0" w:line="276" w:lineRule="auto"/>
        <w:ind w:left="20" w:hanging="20"/>
        <w:rPr>
          <w:rFonts w:ascii="Arial" w:hAnsi="Arial" w:cs="Arial"/>
          <w:sz w:val="24"/>
          <w:szCs w:val="24"/>
        </w:rPr>
      </w:pPr>
      <w:r w:rsidRPr="004742FD">
        <w:rPr>
          <w:rFonts w:ascii="Arial" w:hAnsi="Arial" w:cs="Arial"/>
          <w:sz w:val="24"/>
          <w:szCs w:val="24"/>
        </w:rPr>
        <w:t>Leave granted.</w:t>
      </w:r>
    </w:p>
    <w:p w:rsidR="009D0F67" w:rsidRPr="004742FD" w:rsidRDefault="009D0F67" w:rsidP="004742FD">
      <w:pPr>
        <w:pStyle w:val="Bodytext70"/>
        <w:shd w:val="clear" w:color="auto" w:fill="auto"/>
        <w:spacing w:line="276" w:lineRule="auto"/>
        <w:ind w:right="20" w:hanging="20"/>
        <w:rPr>
          <w:rFonts w:ascii="Arial" w:hAnsi="Arial" w:cs="Arial"/>
          <w:sz w:val="24"/>
          <w:szCs w:val="24"/>
        </w:rPr>
      </w:pPr>
      <w:r w:rsidRPr="004742FD">
        <w:rPr>
          <w:rStyle w:val="Bodytext7SmallCaps"/>
          <w:rFonts w:ascii="Arial" w:hAnsi="Arial" w:cs="Arial"/>
          <w:sz w:val="24"/>
          <w:szCs w:val="24"/>
        </w:rPr>
        <w:t>Explanation of Bill</w:t>
      </w:r>
    </w:p>
    <w:p w:rsidR="009D0F67" w:rsidRDefault="009D0F67" w:rsidP="004742FD">
      <w:pPr>
        <w:spacing w:line="276" w:lineRule="auto"/>
        <w:ind w:hanging="20"/>
        <w:rPr>
          <w:rFonts w:ascii="Arial" w:hAnsi="Arial" w:cs="Arial"/>
        </w:rPr>
      </w:pPr>
      <w:r w:rsidRPr="004742FD">
        <w:rPr>
          <w:rFonts w:ascii="Arial" w:hAnsi="Arial" w:cs="Arial"/>
        </w:rPr>
        <w:t>This relatively short Bill proposes two changes of great significance in the principal Act, the Wheat Delivery Quotas Act, 1969, as amended.</w:t>
      </w:r>
      <w:r w:rsidR="004742FD">
        <w:rPr>
          <w:rFonts w:ascii="Arial" w:hAnsi="Arial" w:cs="Arial"/>
        </w:rPr>
        <w:t xml:space="preserve"> </w:t>
      </w:r>
      <w:r w:rsidRPr="004742FD">
        <w:rPr>
          <w:rFonts w:ascii="Arial" w:hAnsi="Arial" w:cs="Arial"/>
        </w:rPr>
        <w:t xml:space="preserve"> First, it proposes that nominal quotas may be established for certain production units from traditional wheatgrowing areas from which for one reason or another wheat was not produced and delivered to a licensed receiver during the “prescribed period”, that is, the five consecutive seasons concluding on</w:t>
      </w:r>
      <w:r w:rsidR="004742FD">
        <w:rPr>
          <w:rFonts w:ascii="Arial" w:hAnsi="Arial" w:cs="Arial"/>
        </w:rPr>
        <w:t xml:space="preserve"> </w:t>
      </w:r>
      <w:r w:rsidRPr="004742FD">
        <w:rPr>
          <w:rFonts w:ascii="Arial" w:hAnsi="Arial" w:cs="Arial"/>
        </w:rPr>
        <w:t>September 30, 1969.</w:t>
      </w:r>
      <w:r w:rsidR="004742FD">
        <w:rPr>
          <w:rFonts w:ascii="Arial" w:hAnsi="Arial" w:cs="Arial"/>
        </w:rPr>
        <w:t xml:space="preserve"> </w:t>
      </w:r>
      <w:r w:rsidRPr="004742FD">
        <w:rPr>
          <w:rFonts w:ascii="Arial" w:hAnsi="Arial" w:cs="Arial"/>
        </w:rPr>
        <w:t xml:space="preserve"> Secondly, it will permit farmers to trade in wheat delivery quotas by making such quotas or portions of quotas transferable with the approval of the advisory committee.</w:t>
      </w:r>
    </w:p>
    <w:p w:rsidR="004742FD" w:rsidRPr="004742FD" w:rsidRDefault="004742FD" w:rsidP="004742FD">
      <w:pPr>
        <w:spacing w:line="276" w:lineRule="auto"/>
        <w:ind w:hanging="20"/>
        <w:rPr>
          <w:rFonts w:ascii="Arial" w:hAnsi="Arial" w:cs="Arial"/>
        </w:rPr>
      </w:pPr>
    </w:p>
    <w:p w:rsidR="009D0F67" w:rsidRDefault="009D0F67" w:rsidP="004742FD">
      <w:pPr>
        <w:pStyle w:val="Bodytext0"/>
        <w:shd w:val="clear" w:color="auto" w:fill="auto"/>
        <w:spacing w:after="0" w:line="276" w:lineRule="auto"/>
        <w:ind w:left="20" w:right="20" w:hanging="20"/>
        <w:rPr>
          <w:rFonts w:ascii="Arial" w:hAnsi="Arial" w:cs="Arial"/>
          <w:sz w:val="24"/>
          <w:szCs w:val="24"/>
        </w:rPr>
      </w:pPr>
      <w:r w:rsidRPr="004742FD">
        <w:rPr>
          <w:rFonts w:ascii="Arial" w:hAnsi="Arial" w:cs="Arial"/>
          <w:sz w:val="24"/>
          <w:szCs w:val="24"/>
        </w:rPr>
        <w:t xml:space="preserve">I will now deal with the Bill in some detail. </w:t>
      </w:r>
      <w:r w:rsidR="004742FD">
        <w:rPr>
          <w:rFonts w:ascii="Arial" w:hAnsi="Arial" w:cs="Arial"/>
          <w:sz w:val="24"/>
          <w:szCs w:val="24"/>
        </w:rPr>
        <w:t xml:space="preserve"> </w:t>
      </w:r>
      <w:r w:rsidRPr="004742FD">
        <w:rPr>
          <w:rFonts w:ascii="Arial" w:hAnsi="Arial" w:cs="Arial"/>
          <w:sz w:val="24"/>
          <w:szCs w:val="24"/>
        </w:rPr>
        <w:t xml:space="preserve">Clauses 1 and 2 are formal. </w:t>
      </w:r>
      <w:r w:rsidR="004742FD">
        <w:rPr>
          <w:rFonts w:ascii="Arial" w:hAnsi="Arial" w:cs="Arial"/>
          <w:sz w:val="24"/>
          <w:szCs w:val="24"/>
        </w:rPr>
        <w:t xml:space="preserve"> </w:t>
      </w:r>
      <w:r w:rsidRPr="004742FD">
        <w:rPr>
          <w:rFonts w:ascii="Arial" w:hAnsi="Arial" w:cs="Arial"/>
          <w:sz w:val="24"/>
          <w:szCs w:val="24"/>
        </w:rPr>
        <w:t>Clause 3 is consequential on an</w:t>
      </w:r>
      <w:r w:rsidR="004742FD">
        <w:rPr>
          <w:rFonts w:ascii="Arial" w:hAnsi="Arial" w:cs="Arial"/>
          <w:sz w:val="24"/>
          <w:szCs w:val="24"/>
        </w:rPr>
        <w:t xml:space="preserve"> amend</w:t>
      </w:r>
      <w:r w:rsidRPr="004742FD">
        <w:rPr>
          <w:rFonts w:ascii="Arial" w:hAnsi="Arial" w:cs="Arial"/>
          <w:sz w:val="24"/>
          <w:szCs w:val="24"/>
        </w:rPr>
        <w:t xml:space="preserve">ment effected by clause 7. </w:t>
      </w:r>
      <w:r w:rsidR="004742FD">
        <w:rPr>
          <w:rFonts w:ascii="Arial" w:hAnsi="Arial" w:cs="Arial"/>
          <w:sz w:val="24"/>
          <w:szCs w:val="24"/>
        </w:rPr>
        <w:t xml:space="preserve"> </w:t>
      </w:r>
      <w:r w:rsidRPr="004742FD">
        <w:rPr>
          <w:rFonts w:ascii="Arial" w:hAnsi="Arial" w:cs="Arial"/>
          <w:sz w:val="24"/>
          <w:szCs w:val="24"/>
        </w:rPr>
        <w:t xml:space="preserve">Clause 4 amends section 19 of the principal Act at paragraph </w:t>
      </w:r>
      <w:r w:rsidRPr="004742FD">
        <w:rPr>
          <w:rStyle w:val="BodytextItalic"/>
          <w:rFonts w:ascii="Arial" w:eastAsia="Courier New" w:hAnsi="Arial" w:cs="Arial"/>
          <w:sz w:val="24"/>
          <w:szCs w:val="24"/>
        </w:rPr>
        <w:t>(a)</w:t>
      </w:r>
      <w:r w:rsidR="004742FD">
        <w:rPr>
          <w:rFonts w:ascii="Arial" w:hAnsi="Arial" w:cs="Arial"/>
          <w:sz w:val="24"/>
          <w:szCs w:val="24"/>
        </w:rPr>
        <w:t xml:space="preserve"> by striking out a refer</w:t>
      </w:r>
      <w:r w:rsidRPr="004742FD">
        <w:rPr>
          <w:rFonts w:ascii="Arial" w:hAnsi="Arial" w:cs="Arial"/>
          <w:sz w:val="24"/>
          <w:szCs w:val="24"/>
        </w:rPr>
        <w:t xml:space="preserve">ence to bushels in pursuance of the policy of converting to the metric system of measurement, and at paragraph </w:t>
      </w:r>
      <w:r w:rsidRPr="004742FD">
        <w:rPr>
          <w:rStyle w:val="BodytextItalic"/>
          <w:rFonts w:ascii="Arial" w:eastAsia="Courier New" w:hAnsi="Arial" w:cs="Arial"/>
          <w:sz w:val="24"/>
          <w:szCs w:val="24"/>
        </w:rPr>
        <w:t xml:space="preserve">(b) </w:t>
      </w:r>
      <w:r w:rsidRPr="004742FD">
        <w:rPr>
          <w:rFonts w:ascii="Arial" w:hAnsi="Arial" w:cs="Arial"/>
          <w:sz w:val="24"/>
          <w:szCs w:val="24"/>
        </w:rPr>
        <w:t xml:space="preserve">by ensuring that the penalty for making a false or misleading statement in an application under section 19 of the principal Act will apply equally to a false or misleading statement in an application made under proposed new section 249 of the Act, which deals with applications for special nominal quotas. </w:t>
      </w:r>
      <w:r w:rsidR="004742FD">
        <w:rPr>
          <w:rFonts w:ascii="Arial" w:hAnsi="Arial" w:cs="Arial"/>
          <w:sz w:val="24"/>
          <w:szCs w:val="24"/>
        </w:rPr>
        <w:t xml:space="preserve"> </w:t>
      </w:r>
      <w:r w:rsidRPr="004742FD">
        <w:rPr>
          <w:rFonts w:ascii="Arial" w:hAnsi="Arial" w:cs="Arial"/>
          <w:sz w:val="24"/>
          <w:szCs w:val="24"/>
        </w:rPr>
        <w:t xml:space="preserve">Clause 5 provides that a person who would otherwise be allocated a wheat delivery quota for a quota season may request the advisory committee not to allocate such a quota for that season. </w:t>
      </w:r>
      <w:r w:rsidR="004742FD">
        <w:rPr>
          <w:rFonts w:ascii="Arial" w:hAnsi="Arial" w:cs="Arial"/>
          <w:sz w:val="24"/>
          <w:szCs w:val="24"/>
        </w:rPr>
        <w:t xml:space="preserve"> </w:t>
      </w:r>
      <w:r w:rsidRPr="004742FD">
        <w:rPr>
          <w:rFonts w:ascii="Arial" w:hAnsi="Arial" w:cs="Arial"/>
          <w:sz w:val="24"/>
          <w:szCs w:val="24"/>
        </w:rPr>
        <w:t>Such a request will not prejudice the right of that person to be allocated a wheat delivery quota in respect of subsequent quota seasons.</w:t>
      </w:r>
    </w:p>
    <w:p w:rsidR="004742FD" w:rsidRPr="004742FD" w:rsidRDefault="004742FD" w:rsidP="004742FD">
      <w:pPr>
        <w:pStyle w:val="Bodytext0"/>
        <w:shd w:val="clear" w:color="auto" w:fill="auto"/>
        <w:spacing w:after="0" w:line="276" w:lineRule="auto"/>
        <w:ind w:left="20" w:right="20" w:hanging="20"/>
        <w:rPr>
          <w:rFonts w:ascii="Arial" w:hAnsi="Arial" w:cs="Arial"/>
          <w:sz w:val="24"/>
          <w:szCs w:val="24"/>
        </w:rPr>
      </w:pPr>
    </w:p>
    <w:p w:rsidR="009D0F67" w:rsidRDefault="009D0F67" w:rsidP="004742FD">
      <w:pPr>
        <w:pStyle w:val="Bodytext0"/>
        <w:shd w:val="clear" w:color="auto" w:fill="auto"/>
        <w:spacing w:after="0" w:line="276" w:lineRule="auto"/>
        <w:ind w:left="20" w:right="20" w:hanging="20"/>
        <w:rPr>
          <w:rFonts w:ascii="Arial" w:hAnsi="Arial" w:cs="Arial"/>
          <w:sz w:val="24"/>
          <w:szCs w:val="24"/>
        </w:rPr>
      </w:pPr>
      <w:r w:rsidRPr="004742FD">
        <w:rPr>
          <w:rFonts w:ascii="Arial" w:hAnsi="Arial" w:cs="Arial"/>
          <w:sz w:val="24"/>
          <w:szCs w:val="24"/>
        </w:rPr>
        <w:t xml:space="preserve">Clause </w:t>
      </w:r>
      <w:r w:rsidRPr="004742FD">
        <w:rPr>
          <w:rStyle w:val="Bodytext7pt"/>
          <w:rFonts w:ascii="Arial" w:hAnsi="Arial" w:cs="Arial"/>
          <w:sz w:val="24"/>
          <w:szCs w:val="24"/>
        </w:rPr>
        <w:t>6</w:t>
      </w:r>
      <w:r w:rsidRPr="004742FD">
        <w:rPr>
          <w:rFonts w:ascii="Arial" w:hAnsi="Arial" w:cs="Arial"/>
          <w:sz w:val="24"/>
          <w:szCs w:val="24"/>
        </w:rPr>
        <w:t xml:space="preserve"> provides for the establishment of special nominal quotas in respect of production units adverted to above.</w:t>
      </w:r>
      <w:r w:rsidR="004742FD">
        <w:rPr>
          <w:rFonts w:ascii="Arial" w:hAnsi="Arial" w:cs="Arial"/>
          <w:sz w:val="24"/>
          <w:szCs w:val="24"/>
        </w:rPr>
        <w:t xml:space="preserve"> </w:t>
      </w:r>
      <w:r w:rsidRPr="004742FD">
        <w:rPr>
          <w:rFonts w:ascii="Arial" w:hAnsi="Arial" w:cs="Arial"/>
          <w:sz w:val="24"/>
          <w:szCs w:val="24"/>
        </w:rPr>
        <w:t xml:space="preserve"> A production unit will qualify under this provision if wheat was produced and delivered from it during two or more of the </w:t>
      </w:r>
      <w:r w:rsidRPr="004742FD">
        <w:rPr>
          <w:rStyle w:val="Bodytext7pt"/>
          <w:rFonts w:ascii="Arial" w:hAnsi="Arial" w:cs="Arial"/>
          <w:sz w:val="24"/>
          <w:szCs w:val="24"/>
        </w:rPr>
        <w:t>10</w:t>
      </w:r>
      <w:r w:rsidRPr="004742FD">
        <w:rPr>
          <w:rFonts w:ascii="Arial" w:hAnsi="Arial" w:cs="Arial"/>
          <w:sz w:val="24"/>
          <w:szCs w:val="24"/>
        </w:rPr>
        <w:t xml:space="preserve"> consecutive seasons that concluded on September 30, 1964, this period being the period immedi</w:t>
      </w:r>
      <w:r w:rsidRPr="004742FD">
        <w:rPr>
          <w:rFonts w:ascii="Arial" w:hAnsi="Arial" w:cs="Arial"/>
          <w:sz w:val="24"/>
          <w:szCs w:val="24"/>
        </w:rPr>
        <w:softHyphen/>
        <w:t xml:space="preserve">ately preceding the period on which wheat delivery quotas were originally based. </w:t>
      </w:r>
      <w:r w:rsidR="004742FD">
        <w:rPr>
          <w:rFonts w:ascii="Arial" w:hAnsi="Arial" w:cs="Arial"/>
          <w:sz w:val="24"/>
          <w:szCs w:val="24"/>
        </w:rPr>
        <w:t xml:space="preserve"> </w:t>
      </w:r>
      <w:r w:rsidRPr="004742FD">
        <w:rPr>
          <w:rFonts w:ascii="Arial" w:hAnsi="Arial" w:cs="Arial"/>
          <w:sz w:val="24"/>
          <w:szCs w:val="24"/>
        </w:rPr>
        <w:t xml:space="preserve">The highest special nominal quota that can be allocated under this section is 109 tonnes, or </w:t>
      </w:r>
      <w:r w:rsidRPr="004742FD">
        <w:rPr>
          <w:rFonts w:ascii="Arial" w:hAnsi="Arial" w:cs="Arial"/>
          <w:sz w:val="24"/>
          <w:szCs w:val="24"/>
        </w:rPr>
        <w:lastRenderedPageBreak/>
        <w:t xml:space="preserve">about 4 000 bushels. </w:t>
      </w:r>
      <w:r w:rsidR="004742FD">
        <w:rPr>
          <w:rFonts w:ascii="Arial" w:hAnsi="Arial" w:cs="Arial"/>
          <w:sz w:val="24"/>
          <w:szCs w:val="24"/>
        </w:rPr>
        <w:t xml:space="preserve"> </w:t>
      </w:r>
      <w:r w:rsidRPr="004742FD">
        <w:rPr>
          <w:rFonts w:ascii="Arial" w:hAnsi="Arial" w:cs="Arial"/>
          <w:sz w:val="24"/>
          <w:szCs w:val="24"/>
        </w:rPr>
        <w:t>The method of calculating the special nominal quota is set out in proposed subsection</w:t>
      </w:r>
      <w:r w:rsidR="004742FD">
        <w:rPr>
          <w:rFonts w:ascii="Arial" w:hAnsi="Arial" w:cs="Arial"/>
          <w:sz w:val="24"/>
          <w:szCs w:val="24"/>
        </w:rPr>
        <w:t xml:space="preserve">  (4).  </w:t>
      </w:r>
      <w:r w:rsidRPr="004742FD">
        <w:rPr>
          <w:rFonts w:ascii="Arial" w:hAnsi="Arial" w:cs="Arial"/>
          <w:sz w:val="24"/>
          <w:szCs w:val="24"/>
        </w:rPr>
        <w:t>Upon establishment, special nominal quotas will be regarded as ordinary nomin</w:t>
      </w:r>
      <w:r w:rsidR="004742FD">
        <w:rPr>
          <w:rFonts w:ascii="Arial" w:hAnsi="Arial" w:cs="Arial"/>
          <w:sz w:val="24"/>
          <w:szCs w:val="24"/>
        </w:rPr>
        <w:t>al quotas established under sec</w:t>
      </w:r>
      <w:r w:rsidRPr="004742FD">
        <w:rPr>
          <w:rFonts w:ascii="Arial" w:hAnsi="Arial" w:cs="Arial"/>
          <w:sz w:val="24"/>
          <w:szCs w:val="24"/>
        </w:rPr>
        <w:t>tion 24a of the Act.</w:t>
      </w:r>
    </w:p>
    <w:p w:rsidR="004742FD" w:rsidRPr="004742FD" w:rsidRDefault="004742FD" w:rsidP="004742FD">
      <w:pPr>
        <w:pStyle w:val="Bodytext0"/>
        <w:shd w:val="clear" w:color="auto" w:fill="auto"/>
        <w:spacing w:after="0" w:line="276" w:lineRule="auto"/>
        <w:ind w:left="20" w:right="20" w:hanging="20"/>
        <w:rPr>
          <w:rFonts w:ascii="Arial" w:hAnsi="Arial" w:cs="Arial"/>
          <w:sz w:val="24"/>
          <w:szCs w:val="24"/>
        </w:rPr>
      </w:pPr>
    </w:p>
    <w:p w:rsidR="009D0F67" w:rsidRDefault="009D0F67" w:rsidP="004742FD">
      <w:pPr>
        <w:pStyle w:val="Bodytext0"/>
        <w:shd w:val="clear" w:color="auto" w:fill="auto"/>
        <w:spacing w:after="0" w:line="276" w:lineRule="auto"/>
        <w:ind w:left="20" w:right="20" w:hanging="20"/>
        <w:rPr>
          <w:rFonts w:ascii="Arial" w:hAnsi="Arial" w:cs="Arial"/>
          <w:sz w:val="24"/>
          <w:szCs w:val="24"/>
        </w:rPr>
      </w:pPr>
      <w:r w:rsidRPr="004742FD">
        <w:rPr>
          <w:rFonts w:ascii="Arial" w:hAnsi="Arial" w:cs="Arial"/>
          <w:sz w:val="24"/>
          <w:szCs w:val="24"/>
        </w:rPr>
        <w:t xml:space="preserve">Clause 7 provides for the transfer of quotas on a </w:t>
      </w:r>
      <w:r w:rsidRPr="004742FD">
        <w:rPr>
          <w:rStyle w:val="Bodytext7pt"/>
          <w:rFonts w:ascii="Arial" w:hAnsi="Arial" w:cs="Arial"/>
          <w:sz w:val="24"/>
          <w:szCs w:val="24"/>
        </w:rPr>
        <w:t xml:space="preserve">season </w:t>
      </w:r>
      <w:r w:rsidRPr="004742FD">
        <w:rPr>
          <w:rFonts w:ascii="Arial" w:hAnsi="Arial" w:cs="Arial"/>
          <w:sz w:val="24"/>
          <w:szCs w:val="24"/>
        </w:rPr>
        <w:t xml:space="preserve">to season basis; in short, only the right to deliver </w:t>
      </w:r>
      <w:r w:rsidRPr="004742FD">
        <w:rPr>
          <w:rStyle w:val="Bodytext7pt"/>
          <w:rFonts w:ascii="Arial" w:hAnsi="Arial" w:cs="Arial"/>
          <w:sz w:val="24"/>
          <w:szCs w:val="24"/>
        </w:rPr>
        <w:t xml:space="preserve">wheat </w:t>
      </w:r>
      <w:r w:rsidRPr="004742FD">
        <w:rPr>
          <w:rFonts w:ascii="Arial" w:hAnsi="Arial" w:cs="Arial"/>
          <w:sz w:val="24"/>
          <w:szCs w:val="24"/>
        </w:rPr>
        <w:t>for a particular season can be transferred.</w:t>
      </w:r>
      <w:r w:rsidR="004742FD">
        <w:rPr>
          <w:rFonts w:ascii="Arial" w:hAnsi="Arial" w:cs="Arial"/>
          <w:sz w:val="24"/>
          <w:szCs w:val="24"/>
        </w:rPr>
        <w:t xml:space="preserve"> </w:t>
      </w:r>
      <w:r w:rsidRPr="004742FD">
        <w:rPr>
          <w:rFonts w:ascii="Arial" w:hAnsi="Arial" w:cs="Arial"/>
          <w:sz w:val="24"/>
          <w:szCs w:val="24"/>
        </w:rPr>
        <w:t xml:space="preserve"> </w:t>
      </w:r>
      <w:r w:rsidRPr="004742FD">
        <w:rPr>
          <w:rStyle w:val="Bodytext7pt"/>
          <w:rFonts w:ascii="Arial" w:hAnsi="Arial" w:cs="Arial"/>
          <w:sz w:val="24"/>
          <w:szCs w:val="24"/>
        </w:rPr>
        <w:t xml:space="preserve">With one </w:t>
      </w:r>
      <w:r w:rsidRPr="004742FD">
        <w:rPr>
          <w:rFonts w:ascii="Arial" w:hAnsi="Arial" w:cs="Arial"/>
          <w:sz w:val="24"/>
          <w:szCs w:val="24"/>
        </w:rPr>
        <w:t>exception, a wheat delivery quota increased as a result of an approved transfer will for all purposes be regarded as a wheat delivery quota allocated in respect of a production unit.</w:t>
      </w:r>
      <w:r w:rsidR="004742FD">
        <w:rPr>
          <w:rFonts w:ascii="Arial" w:hAnsi="Arial" w:cs="Arial"/>
          <w:sz w:val="24"/>
          <w:szCs w:val="24"/>
        </w:rPr>
        <w:t xml:space="preserve"> </w:t>
      </w:r>
      <w:r w:rsidRPr="004742FD">
        <w:rPr>
          <w:rFonts w:ascii="Arial" w:hAnsi="Arial" w:cs="Arial"/>
          <w:sz w:val="24"/>
          <w:szCs w:val="24"/>
        </w:rPr>
        <w:t xml:space="preserve"> The exception is that, where all the wheat from a production unit delivered in respect of a season is less than the amount by which the wheat delivery quota for that production unit was increased by way of a transfer of a quota, the difference between the amount of the increase and the amount actually delivered will not be taken into account in determining the short-fall of that production unit. </w:t>
      </w:r>
      <w:r w:rsidR="004742FD">
        <w:rPr>
          <w:rFonts w:ascii="Arial" w:hAnsi="Arial" w:cs="Arial"/>
          <w:sz w:val="24"/>
          <w:szCs w:val="24"/>
        </w:rPr>
        <w:t xml:space="preserve"> </w:t>
      </w:r>
      <w:r w:rsidRPr="004742FD">
        <w:rPr>
          <w:rFonts w:ascii="Arial" w:hAnsi="Arial" w:cs="Arial"/>
          <w:sz w:val="24"/>
          <w:szCs w:val="24"/>
        </w:rPr>
        <w:t xml:space="preserve">Clause </w:t>
      </w:r>
      <w:r w:rsidRPr="004742FD">
        <w:rPr>
          <w:rStyle w:val="Bodytext7pt"/>
          <w:rFonts w:ascii="Arial" w:hAnsi="Arial" w:cs="Arial"/>
          <w:sz w:val="24"/>
          <w:szCs w:val="24"/>
        </w:rPr>
        <w:t>8</w:t>
      </w:r>
      <w:r w:rsidRPr="004742FD">
        <w:rPr>
          <w:rFonts w:ascii="Arial" w:hAnsi="Arial" w:cs="Arial"/>
          <w:sz w:val="24"/>
          <w:szCs w:val="24"/>
        </w:rPr>
        <w:t xml:space="preserve"> provides for the exception adverted to in relation to clause 7, and clause 9 makes a minor drafting amendment to the principal Act.</w:t>
      </w:r>
      <w:r w:rsidR="004742FD">
        <w:rPr>
          <w:rFonts w:ascii="Arial" w:hAnsi="Arial" w:cs="Arial"/>
          <w:sz w:val="24"/>
          <w:szCs w:val="24"/>
        </w:rPr>
        <w:t xml:space="preserve"> </w:t>
      </w:r>
    </w:p>
    <w:p w:rsidR="004742FD" w:rsidRPr="004742FD" w:rsidRDefault="004742FD" w:rsidP="004742FD">
      <w:pPr>
        <w:pStyle w:val="Bodytext0"/>
        <w:shd w:val="clear" w:color="auto" w:fill="auto"/>
        <w:spacing w:after="0" w:line="276" w:lineRule="auto"/>
        <w:ind w:left="20" w:right="20" w:hanging="20"/>
        <w:rPr>
          <w:rFonts w:ascii="Arial" w:hAnsi="Arial" w:cs="Arial"/>
          <w:sz w:val="24"/>
          <w:szCs w:val="24"/>
        </w:rPr>
      </w:pPr>
    </w:p>
    <w:p w:rsidR="009D0F67" w:rsidRPr="004742FD" w:rsidRDefault="009D0F67" w:rsidP="004742FD">
      <w:pPr>
        <w:pStyle w:val="Bodytext0"/>
        <w:shd w:val="clear" w:color="auto" w:fill="auto"/>
        <w:spacing w:after="120" w:line="276" w:lineRule="auto"/>
        <w:ind w:left="20" w:hanging="20"/>
        <w:rPr>
          <w:rFonts w:ascii="Arial" w:hAnsi="Arial" w:cs="Arial"/>
          <w:sz w:val="24"/>
          <w:szCs w:val="24"/>
        </w:rPr>
      </w:pPr>
      <w:r w:rsidRPr="004742FD">
        <w:rPr>
          <w:rFonts w:ascii="Arial" w:hAnsi="Arial" w:cs="Arial"/>
          <w:sz w:val="24"/>
          <w:szCs w:val="24"/>
        </w:rPr>
        <w:t>Mr. WARDLE secured the adjournment of the debate.</w:t>
      </w:r>
    </w:p>
    <w:sectPr w:rsidR="009D0F67" w:rsidRPr="004742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4D3" w:rsidRDefault="003724D3" w:rsidP="004742FD">
      <w:r>
        <w:separator/>
      </w:r>
    </w:p>
  </w:endnote>
  <w:endnote w:type="continuationSeparator" w:id="1">
    <w:p w:rsidR="003724D3" w:rsidRDefault="003724D3" w:rsidP="00474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FD" w:rsidRPr="004742FD" w:rsidRDefault="004742FD" w:rsidP="004742FD">
    <w:pPr>
      <w:pStyle w:val="Footer"/>
      <w:jc w:val="right"/>
      <w:rPr>
        <w:rFonts w:ascii="Arial" w:hAnsi="Arial" w:cs="Arial"/>
        <w:color w:val="548DD4" w:themeColor="text2" w:themeTint="99"/>
      </w:rPr>
    </w:pPr>
    <w:r w:rsidRPr="004742FD">
      <w:rPr>
        <w:rFonts w:ascii="Arial" w:hAnsi="Arial" w:cs="Arial"/>
        <w:noProof/>
        <w:color w:val="548DD4" w:themeColor="text2" w:themeTint="99"/>
      </w:rPr>
      <w:t>History of Agriculture South Australia</w:t>
    </w:r>
  </w:p>
  <w:p w:rsidR="004742FD" w:rsidRDefault="004742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4D3" w:rsidRDefault="003724D3" w:rsidP="004742FD">
      <w:r>
        <w:separator/>
      </w:r>
    </w:p>
  </w:footnote>
  <w:footnote w:type="continuationSeparator" w:id="1">
    <w:p w:rsidR="003724D3" w:rsidRDefault="003724D3" w:rsidP="00474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3C0"/>
    <w:multiLevelType w:val="multilevel"/>
    <w:tmpl w:val="22E4ED92"/>
    <w:lvl w:ilvl="0">
      <w:start w:val="4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F67"/>
    <w:rsid w:val="003724D3"/>
    <w:rsid w:val="004742FD"/>
    <w:rsid w:val="007741B3"/>
    <w:rsid w:val="009D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0F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9D0F6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rsid w:val="009D0F67"/>
    <w:rPr>
      <w:i/>
      <w:iCs/>
      <w:color w:val="000000"/>
      <w:spacing w:val="0"/>
      <w:w w:val="100"/>
      <w:position w:val="0"/>
      <w:lang w:val="en-US"/>
    </w:rPr>
  </w:style>
  <w:style w:type="character" w:customStyle="1" w:styleId="Bodytext2">
    <w:name w:val="Body text (2)_"/>
    <w:basedOn w:val="DefaultParagraphFont"/>
    <w:link w:val="Bodytext20"/>
    <w:rsid w:val="009D0F67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9D0F6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Bodytext7SmallCaps">
    <w:name w:val="Body text (7) + Small Caps"/>
    <w:basedOn w:val="Bodytext7"/>
    <w:rsid w:val="009D0F67"/>
    <w:rPr>
      <w:smallCaps/>
      <w:color w:val="000000"/>
      <w:spacing w:val="0"/>
      <w:w w:val="100"/>
      <w:position w:val="0"/>
      <w:lang w:val="en-US"/>
    </w:rPr>
  </w:style>
  <w:style w:type="paragraph" w:customStyle="1" w:styleId="Bodytext0">
    <w:name w:val="Body text"/>
    <w:basedOn w:val="Normal"/>
    <w:link w:val="Bodytext"/>
    <w:rsid w:val="009D0F67"/>
    <w:pPr>
      <w:shd w:val="clear" w:color="auto" w:fill="FFFFFF"/>
      <w:spacing w:after="60" w:line="202" w:lineRule="exact"/>
      <w:ind w:hanging="940"/>
      <w:jc w:val="both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Bodytext20">
    <w:name w:val="Body text (2)"/>
    <w:basedOn w:val="Normal"/>
    <w:link w:val="Bodytext2"/>
    <w:rsid w:val="009D0F67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i/>
      <w:iCs/>
      <w:color w:val="auto"/>
      <w:sz w:val="15"/>
      <w:szCs w:val="15"/>
    </w:rPr>
  </w:style>
  <w:style w:type="paragraph" w:customStyle="1" w:styleId="Bodytext70">
    <w:name w:val="Body text (7)"/>
    <w:basedOn w:val="Normal"/>
    <w:link w:val="Bodytext7"/>
    <w:rsid w:val="009D0F67"/>
    <w:pPr>
      <w:shd w:val="clear" w:color="auto" w:fill="FFFFFF"/>
      <w:spacing w:line="163" w:lineRule="exact"/>
      <w:jc w:val="center"/>
    </w:pPr>
    <w:rPr>
      <w:rFonts w:ascii="Times New Roman" w:eastAsia="Times New Roman" w:hAnsi="Times New Roman" w:cs="Times New Roman"/>
      <w:color w:val="auto"/>
      <w:sz w:val="13"/>
      <w:szCs w:val="13"/>
    </w:rPr>
  </w:style>
  <w:style w:type="character" w:customStyle="1" w:styleId="Bodytext7pt">
    <w:name w:val="Body text + 7 pt"/>
    <w:aliases w:val="Bold"/>
    <w:basedOn w:val="Bodytext"/>
    <w:rsid w:val="009D0F6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2FD"/>
    <w:rPr>
      <w:rFonts w:ascii="Courier New" w:eastAsia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2FD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1</cp:revision>
  <dcterms:created xsi:type="dcterms:W3CDTF">2020-05-20T06:54:00Z</dcterms:created>
  <dcterms:modified xsi:type="dcterms:W3CDTF">2020-05-20T07:14:00Z</dcterms:modified>
</cp:coreProperties>
</file>