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7FEA" w14:textId="77777777" w:rsidR="006F0EE9" w:rsidRPr="00F00A16" w:rsidRDefault="006F0EE9" w:rsidP="00F00A16">
      <w:pPr>
        <w:pStyle w:val="Heading1"/>
      </w:pPr>
      <w:r w:rsidRPr="00F00A16">
        <w:t>MEASUREMENT UNCERTAINTY (mu)</w:t>
      </w:r>
    </w:p>
    <w:p w14:paraId="284BE619" w14:textId="3EB8B8E2" w:rsidR="006F0EE9" w:rsidRPr="006F0EE9" w:rsidRDefault="006F0EE9" w:rsidP="00F00A16">
      <w:pPr>
        <w:pStyle w:val="Heading2"/>
      </w:pPr>
      <w:bookmarkStart w:id="0" w:name="_Toc11701986"/>
      <w:r w:rsidRPr="006F0EE9">
        <w:t>Estimation of Measurement Uncertainty</w:t>
      </w:r>
    </w:p>
    <w:p w14:paraId="02C70415" w14:textId="77777777" w:rsidR="006F0EE9" w:rsidRPr="00F00A16" w:rsidRDefault="006F0EE9" w:rsidP="006F0EE9">
      <w:pPr>
        <w:pStyle w:val="BodyText"/>
        <w:spacing w:before="76" w:line="259" w:lineRule="auto"/>
        <w:ind w:right="-8" w:firstLine="7"/>
        <w:jc w:val="both"/>
        <w:rPr>
          <w:rFonts w:cs="Arial"/>
          <w:color w:val="1A1A1A"/>
          <w:w w:val="105"/>
          <w:szCs w:val="22"/>
        </w:rPr>
      </w:pPr>
      <w:r w:rsidRPr="00F00A16">
        <w:rPr>
          <w:rFonts w:cs="Arial"/>
          <w:color w:val="2F2F2F"/>
          <w:w w:val="105"/>
          <w:szCs w:val="22"/>
        </w:rPr>
        <w:t xml:space="preserve">As a </w:t>
      </w:r>
      <w:r w:rsidRPr="00F00A16">
        <w:rPr>
          <w:rFonts w:cs="Arial"/>
          <w:color w:val="1A1A1A"/>
          <w:w w:val="105"/>
          <w:szCs w:val="22"/>
        </w:rPr>
        <w:t xml:space="preserve">NATA </w:t>
      </w:r>
      <w:r w:rsidRPr="00F00A16">
        <w:rPr>
          <w:rFonts w:cs="Arial"/>
          <w:color w:val="2F2F2F"/>
          <w:w w:val="105"/>
          <w:szCs w:val="22"/>
        </w:rPr>
        <w:t>accredited laboratory</w:t>
      </w:r>
      <w:r w:rsidRPr="00F00A16">
        <w:rPr>
          <w:rFonts w:cs="Arial"/>
          <w:color w:val="2F2F2F"/>
          <w:spacing w:val="24"/>
          <w:w w:val="105"/>
          <w:szCs w:val="22"/>
        </w:rPr>
        <w:t xml:space="preserve"> </w:t>
      </w:r>
      <w:r w:rsidRPr="00F00A16">
        <w:rPr>
          <w:rFonts w:cs="Arial"/>
          <w:color w:val="2F2F2F"/>
          <w:w w:val="105"/>
          <w:szCs w:val="22"/>
        </w:rPr>
        <w:t xml:space="preserve">performing microbiological testing </w:t>
      </w:r>
      <w:r w:rsidRPr="00F00A16">
        <w:rPr>
          <w:rFonts w:cs="Arial"/>
          <w:color w:val="1A1A1A"/>
          <w:w w:val="105"/>
          <w:szCs w:val="22"/>
        </w:rPr>
        <w:t xml:space="preserve">on </w:t>
      </w:r>
      <w:r w:rsidRPr="00F00A16">
        <w:rPr>
          <w:rFonts w:cs="Arial"/>
          <w:color w:val="2F2F2F"/>
          <w:w w:val="105"/>
          <w:szCs w:val="22"/>
        </w:rPr>
        <w:t>samples of seafood, marine, potable</w:t>
      </w:r>
      <w:r w:rsidRPr="00F00A16">
        <w:rPr>
          <w:rFonts w:cs="Arial"/>
          <w:color w:val="2F2F2F"/>
          <w:spacing w:val="44"/>
          <w:w w:val="105"/>
          <w:szCs w:val="22"/>
        </w:rPr>
        <w:t xml:space="preserve"> </w:t>
      </w:r>
      <w:r w:rsidRPr="00F00A16">
        <w:rPr>
          <w:rFonts w:cs="Arial"/>
          <w:color w:val="2F2F2F"/>
          <w:w w:val="105"/>
          <w:szCs w:val="22"/>
        </w:rPr>
        <w:t>and</w:t>
      </w:r>
      <w:r w:rsidRPr="00F00A16">
        <w:rPr>
          <w:rFonts w:cs="Arial"/>
          <w:color w:val="2F2F2F"/>
          <w:w w:val="104"/>
          <w:szCs w:val="22"/>
        </w:rPr>
        <w:t xml:space="preserve"> </w:t>
      </w:r>
      <w:proofErr w:type="gramStart"/>
      <w:r w:rsidRPr="00F00A16">
        <w:rPr>
          <w:rFonts w:cs="Arial"/>
          <w:color w:val="2F2F2F"/>
          <w:w w:val="104"/>
          <w:szCs w:val="22"/>
        </w:rPr>
        <w:t xml:space="preserve">rain </w:t>
      </w:r>
      <w:r w:rsidRPr="00F00A16">
        <w:rPr>
          <w:rFonts w:cs="Arial"/>
          <w:color w:val="1A1A1A"/>
          <w:w w:val="105"/>
          <w:szCs w:val="22"/>
        </w:rPr>
        <w:t>water</w:t>
      </w:r>
      <w:proofErr w:type="gramEnd"/>
      <w:r w:rsidRPr="00F00A16">
        <w:rPr>
          <w:rFonts w:cs="Arial"/>
          <w:color w:val="1A1A1A"/>
          <w:w w:val="105"/>
          <w:szCs w:val="22"/>
        </w:rPr>
        <w:t>, South Australia Shellfish Quality Assurance Program (SASQAP)</w:t>
      </w:r>
      <w:r w:rsidRPr="00F00A16">
        <w:rPr>
          <w:rFonts w:cs="Arial"/>
          <w:color w:val="1A1A1A"/>
          <w:spacing w:val="4"/>
          <w:w w:val="105"/>
          <w:szCs w:val="22"/>
        </w:rPr>
        <w:t xml:space="preserve"> </w:t>
      </w:r>
      <w:r w:rsidRPr="00F00A16">
        <w:rPr>
          <w:rFonts w:cs="Arial"/>
          <w:color w:val="2F2F2F"/>
          <w:w w:val="105"/>
          <w:szCs w:val="22"/>
        </w:rPr>
        <w:t>is</w:t>
      </w:r>
      <w:r w:rsidRPr="00F00A16">
        <w:rPr>
          <w:rFonts w:cs="Arial"/>
          <w:color w:val="2F2F2F"/>
          <w:w w:val="99"/>
          <w:szCs w:val="22"/>
        </w:rPr>
        <w:t xml:space="preserve"> </w:t>
      </w:r>
      <w:r w:rsidRPr="00F00A16">
        <w:rPr>
          <w:rFonts w:cs="Arial"/>
          <w:color w:val="1A1A1A"/>
          <w:w w:val="105"/>
          <w:szCs w:val="22"/>
        </w:rPr>
        <w:t xml:space="preserve">required </w:t>
      </w:r>
      <w:r w:rsidRPr="00F00A16">
        <w:rPr>
          <w:rFonts w:cs="Arial"/>
          <w:color w:val="2F2F2F"/>
          <w:w w:val="105"/>
          <w:szCs w:val="22"/>
        </w:rPr>
        <w:t>to establish the Measurement</w:t>
      </w:r>
      <w:r w:rsidRPr="00F00A16">
        <w:rPr>
          <w:rFonts w:cs="Arial"/>
          <w:color w:val="2F2F2F"/>
          <w:spacing w:val="28"/>
          <w:w w:val="105"/>
          <w:szCs w:val="22"/>
        </w:rPr>
        <w:t xml:space="preserve"> </w:t>
      </w:r>
      <w:r w:rsidRPr="00F00A16">
        <w:rPr>
          <w:rFonts w:cs="Arial"/>
          <w:color w:val="2F2F2F"/>
          <w:w w:val="105"/>
          <w:szCs w:val="22"/>
        </w:rPr>
        <w:t>Uncertainty</w:t>
      </w:r>
      <w:r w:rsidRPr="00F00A16">
        <w:rPr>
          <w:rFonts w:cs="Arial"/>
          <w:color w:val="2F2F2F"/>
          <w:w w:val="103"/>
          <w:szCs w:val="22"/>
        </w:rPr>
        <w:t xml:space="preserve"> </w:t>
      </w:r>
      <w:r w:rsidRPr="00F00A16">
        <w:rPr>
          <w:rFonts w:cs="Arial"/>
          <w:color w:val="2F2F2F"/>
          <w:w w:val="105"/>
          <w:szCs w:val="22"/>
        </w:rPr>
        <w:t xml:space="preserve">associated with its test </w:t>
      </w:r>
      <w:r w:rsidRPr="00F00A16">
        <w:rPr>
          <w:rFonts w:cs="Arial"/>
          <w:color w:val="1A1A1A"/>
          <w:w w:val="105"/>
          <w:szCs w:val="22"/>
        </w:rPr>
        <w:t xml:space="preserve">results </w:t>
      </w:r>
      <w:r w:rsidRPr="00F00A16">
        <w:rPr>
          <w:rFonts w:cs="Arial"/>
          <w:color w:val="2F2F2F"/>
          <w:w w:val="105"/>
          <w:szCs w:val="22"/>
        </w:rPr>
        <w:t>as described in</w:t>
      </w:r>
      <w:r w:rsidRPr="00F00A16">
        <w:rPr>
          <w:rFonts w:cs="Arial"/>
          <w:color w:val="2F2F2F"/>
          <w:spacing w:val="-11"/>
          <w:w w:val="105"/>
          <w:szCs w:val="22"/>
        </w:rPr>
        <w:t xml:space="preserve"> </w:t>
      </w:r>
      <w:r w:rsidRPr="00F00A16">
        <w:rPr>
          <w:rFonts w:cs="Arial"/>
          <w:color w:val="444444"/>
          <w:w w:val="105"/>
          <w:szCs w:val="22"/>
        </w:rPr>
        <w:t>the</w:t>
      </w:r>
      <w:r w:rsidRPr="00F00A16">
        <w:rPr>
          <w:rFonts w:cs="Arial"/>
          <w:color w:val="444444"/>
          <w:w w:val="107"/>
          <w:szCs w:val="22"/>
        </w:rPr>
        <w:t xml:space="preserve"> </w:t>
      </w:r>
      <w:r w:rsidRPr="00F00A16">
        <w:rPr>
          <w:rFonts w:cs="Arial"/>
          <w:color w:val="2F2F2F"/>
          <w:w w:val="105"/>
          <w:szCs w:val="22"/>
        </w:rPr>
        <w:t>international standard ISO/IEC</w:t>
      </w:r>
      <w:r w:rsidRPr="00F00A16">
        <w:rPr>
          <w:rFonts w:cs="Arial"/>
          <w:color w:val="2F2F2F"/>
          <w:spacing w:val="35"/>
          <w:w w:val="105"/>
          <w:szCs w:val="22"/>
        </w:rPr>
        <w:t xml:space="preserve"> </w:t>
      </w:r>
      <w:r w:rsidRPr="00F00A16">
        <w:rPr>
          <w:rFonts w:cs="Arial"/>
          <w:color w:val="1A1A1A"/>
          <w:w w:val="105"/>
          <w:szCs w:val="22"/>
        </w:rPr>
        <w:t>17025.</w:t>
      </w:r>
    </w:p>
    <w:p w14:paraId="4E804AFC" w14:textId="77777777" w:rsidR="006F0EE9" w:rsidRPr="006F0EE9" w:rsidRDefault="006F0EE9" w:rsidP="00F00A16">
      <w:pPr>
        <w:pStyle w:val="Heading2"/>
      </w:pPr>
      <w:r w:rsidRPr="006F0EE9">
        <w:t>What is MU?</w:t>
      </w:r>
    </w:p>
    <w:p w14:paraId="2AC97E30" w14:textId="77777777" w:rsidR="006F0EE9" w:rsidRPr="006F0EE9" w:rsidRDefault="006F0EE9" w:rsidP="006F0EE9">
      <w:pPr>
        <w:pStyle w:val="BodyText"/>
        <w:spacing w:before="90" w:line="261" w:lineRule="auto"/>
        <w:ind w:right="-8"/>
        <w:jc w:val="both"/>
        <w:rPr>
          <w:rFonts w:cs="Arial"/>
          <w:w w:val="105"/>
          <w:szCs w:val="22"/>
        </w:rPr>
      </w:pPr>
      <w:r w:rsidRPr="006F0EE9">
        <w:rPr>
          <w:rFonts w:cs="Arial"/>
          <w:color w:val="2F2F2F"/>
          <w:w w:val="105"/>
          <w:szCs w:val="22"/>
        </w:rPr>
        <w:t>All measurements have a degree of uncertainty regardless of precision and accuracy.</w:t>
      </w:r>
      <w:r w:rsidRPr="006F0EE9">
        <w:rPr>
          <w:rFonts w:cs="Arial"/>
          <w:color w:val="1A1A1A"/>
          <w:w w:val="105"/>
          <w:szCs w:val="22"/>
        </w:rPr>
        <w:t xml:space="preserve">  </w:t>
      </w:r>
      <w:r w:rsidRPr="006F0EE9">
        <w:rPr>
          <w:rFonts w:cs="Arial"/>
          <w:color w:val="2F2F2F"/>
          <w:w w:val="105"/>
          <w:szCs w:val="22"/>
        </w:rPr>
        <w:t>These variations arise, among</w:t>
      </w:r>
      <w:r w:rsidRPr="006F0EE9">
        <w:rPr>
          <w:rFonts w:cs="Arial"/>
          <w:color w:val="2F2F2F"/>
          <w:w w:val="102"/>
          <w:szCs w:val="22"/>
        </w:rPr>
        <w:t xml:space="preserve"> </w:t>
      </w:r>
      <w:r w:rsidRPr="006F0EE9">
        <w:rPr>
          <w:rFonts w:cs="Arial"/>
          <w:color w:val="2F2F2F"/>
          <w:w w:val="105"/>
          <w:szCs w:val="22"/>
        </w:rPr>
        <w:t xml:space="preserve">other </w:t>
      </w:r>
      <w:r w:rsidRPr="006F0EE9">
        <w:rPr>
          <w:rFonts w:cs="Arial"/>
          <w:color w:val="1A1A1A"/>
          <w:w w:val="105"/>
          <w:szCs w:val="22"/>
        </w:rPr>
        <w:t xml:space="preserve">things from </w:t>
      </w:r>
      <w:r w:rsidRPr="006F0EE9">
        <w:rPr>
          <w:rFonts w:cs="Arial"/>
          <w:color w:val="2F2F2F"/>
          <w:w w:val="105"/>
          <w:szCs w:val="22"/>
        </w:rPr>
        <w:t>environmental factors, the operators and environment</w:t>
      </w:r>
      <w:r w:rsidRPr="006F0EE9">
        <w:rPr>
          <w:rFonts w:cs="Arial"/>
          <w:color w:val="1A1A1A"/>
          <w:w w:val="105"/>
          <w:szCs w:val="22"/>
        </w:rPr>
        <w:t xml:space="preserve"> from </w:t>
      </w:r>
      <w:r w:rsidRPr="006F0EE9">
        <w:rPr>
          <w:rFonts w:cs="Arial"/>
          <w:color w:val="2F2F2F"/>
          <w:w w:val="105"/>
          <w:szCs w:val="22"/>
        </w:rPr>
        <w:t>the measuring system</w:t>
      </w:r>
      <w:r w:rsidRPr="006F0EE9">
        <w:rPr>
          <w:rFonts w:cs="Arial"/>
          <w:color w:val="2F2F2F"/>
          <w:spacing w:val="12"/>
          <w:w w:val="105"/>
          <w:szCs w:val="22"/>
        </w:rPr>
        <w:t xml:space="preserve"> </w:t>
      </w:r>
      <w:r w:rsidRPr="006F0EE9">
        <w:rPr>
          <w:rFonts w:cs="Arial"/>
          <w:color w:val="1A1A1A"/>
          <w:w w:val="105"/>
          <w:szCs w:val="22"/>
        </w:rPr>
        <w:t>itself</w:t>
      </w:r>
      <w:r w:rsidRPr="006F0EE9">
        <w:rPr>
          <w:rFonts w:cs="Arial"/>
          <w:w w:val="105"/>
          <w:szCs w:val="22"/>
        </w:rPr>
        <w:t xml:space="preserve">.  This quantifies the variability of a given measurement which guarantees a more accurate value.  </w:t>
      </w:r>
    </w:p>
    <w:p w14:paraId="468C0A5B" w14:textId="77777777" w:rsidR="006F0EE9" w:rsidRPr="006F0EE9" w:rsidRDefault="006F0EE9" w:rsidP="00F00A16">
      <w:pPr>
        <w:pStyle w:val="Heading2"/>
      </w:pPr>
      <w:r w:rsidRPr="006F0EE9">
        <w:t>How is MU Determined?</w:t>
      </w:r>
    </w:p>
    <w:p w14:paraId="05760D4B" w14:textId="77777777" w:rsidR="006F0EE9" w:rsidRPr="006F0EE9" w:rsidRDefault="006F0EE9" w:rsidP="006F0EE9">
      <w:pPr>
        <w:pStyle w:val="BodyText"/>
        <w:spacing w:before="90" w:line="261" w:lineRule="auto"/>
        <w:ind w:right="-8"/>
        <w:jc w:val="both"/>
        <w:rPr>
          <w:rFonts w:cs="Arial"/>
          <w:color w:val="2F2F2F"/>
          <w:w w:val="105"/>
          <w:szCs w:val="22"/>
        </w:rPr>
      </w:pPr>
      <w:r w:rsidRPr="006F0EE9">
        <w:rPr>
          <w:rFonts w:cs="Arial"/>
          <w:color w:val="2F2F2F"/>
          <w:w w:val="105"/>
          <w:szCs w:val="22"/>
        </w:rPr>
        <w:t xml:space="preserve">MU is unique to each technique used, to each matrix tested and has a different value in each laboratory.  In the SASQAP laboratory, we have measured the parameters that can reasonable affect a given result.  These include media preparation and performance, evaluation of reference culture, calibration of equipment, processing of samples, testing methods and staff skills, all of which determine the accuracy of the result. </w:t>
      </w:r>
    </w:p>
    <w:p w14:paraId="25596928" w14:textId="77777777" w:rsidR="006F0EE9" w:rsidRPr="006F0EE9" w:rsidRDefault="006F0EE9" w:rsidP="00F00A16">
      <w:pPr>
        <w:pStyle w:val="Heading2"/>
      </w:pPr>
      <w:r w:rsidRPr="006F0EE9">
        <w:t>Why MU matters</w:t>
      </w:r>
    </w:p>
    <w:p w14:paraId="7223E671" w14:textId="77777777" w:rsidR="006F0EE9" w:rsidRPr="006F0EE9" w:rsidRDefault="006F0EE9" w:rsidP="006F0EE9">
      <w:pPr>
        <w:pStyle w:val="BodyText"/>
        <w:spacing w:before="90" w:line="261" w:lineRule="auto"/>
        <w:ind w:right="-8"/>
        <w:jc w:val="both"/>
        <w:rPr>
          <w:rFonts w:cs="Arial"/>
          <w:color w:val="2F2F2F"/>
          <w:w w:val="105"/>
          <w:szCs w:val="22"/>
        </w:rPr>
      </w:pPr>
      <w:r w:rsidRPr="006F0EE9">
        <w:rPr>
          <w:rFonts w:cs="Arial"/>
          <w:color w:val="2F2F2F"/>
          <w:w w:val="105"/>
          <w:szCs w:val="22"/>
        </w:rPr>
        <w:t xml:space="preserve">Measurement Uncertainty </w:t>
      </w:r>
      <w:proofErr w:type="gramStart"/>
      <w:r w:rsidRPr="006F0EE9">
        <w:rPr>
          <w:rFonts w:cs="Arial"/>
          <w:color w:val="2F2F2F"/>
          <w:w w:val="105"/>
          <w:szCs w:val="22"/>
        </w:rPr>
        <w:t>can be seen as</w:t>
      </w:r>
      <w:proofErr w:type="gramEnd"/>
      <w:r w:rsidRPr="006F0EE9">
        <w:rPr>
          <w:rFonts w:cs="Arial"/>
          <w:color w:val="2F2F2F"/>
          <w:w w:val="105"/>
          <w:szCs w:val="22"/>
        </w:rPr>
        <w:t xml:space="preserve"> a measure of confidence.</w:t>
      </w:r>
    </w:p>
    <w:p w14:paraId="1ADC0CEC" w14:textId="77777777" w:rsidR="006F0EE9" w:rsidRPr="00F00A16" w:rsidRDefault="006F0EE9" w:rsidP="00F00A16">
      <w:pPr>
        <w:pStyle w:val="Heading2"/>
      </w:pPr>
      <w:r w:rsidRPr="00F00A16">
        <w:t>SASQAP’s Measurement Uncertainty</w:t>
      </w:r>
    </w:p>
    <w:p w14:paraId="06E8886A" w14:textId="77777777" w:rsidR="006F0EE9" w:rsidRPr="006F0EE9" w:rsidRDefault="006F0EE9" w:rsidP="006F0EE9">
      <w:pPr>
        <w:pStyle w:val="BodyText"/>
        <w:spacing w:before="76" w:line="259" w:lineRule="auto"/>
        <w:ind w:right="-8" w:firstLine="7"/>
        <w:jc w:val="both"/>
        <w:rPr>
          <w:rFonts w:cs="Arial"/>
          <w:szCs w:val="22"/>
        </w:rPr>
      </w:pPr>
    </w:p>
    <w:tbl>
      <w:tblPr>
        <w:tblW w:w="78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4069"/>
      </w:tblGrid>
      <w:tr w:rsidR="006F0EE9" w:rsidRPr="006F0EE9" w14:paraId="46C14742" w14:textId="77777777" w:rsidTr="0059672F">
        <w:trPr>
          <w:cantSplit/>
          <w:trHeight w:val="482"/>
        </w:trPr>
        <w:tc>
          <w:tcPr>
            <w:tcW w:w="3756" w:type="dxa"/>
            <w:tcBorders>
              <w:bottom w:val="single" w:sz="4" w:space="0" w:color="auto"/>
            </w:tcBorders>
            <w:shd w:val="clear" w:color="auto" w:fill="BFBFBF"/>
            <w:vAlign w:val="center"/>
          </w:tcPr>
          <w:p w14:paraId="21C5F359" w14:textId="77777777" w:rsidR="006F0EE9" w:rsidRPr="00F00A16" w:rsidRDefault="006F0EE9" w:rsidP="006F0EE9">
            <w:pPr>
              <w:pStyle w:val="Heading1"/>
              <w:spacing w:before="0" w:line="360" w:lineRule="auto"/>
              <w:jc w:val="center"/>
              <w:rPr>
                <w:sz w:val="28"/>
              </w:rPr>
            </w:pPr>
            <w:r w:rsidRPr="00F00A16">
              <w:rPr>
                <w:sz w:val="28"/>
              </w:rPr>
              <w:t>Technique</w:t>
            </w:r>
          </w:p>
        </w:tc>
        <w:tc>
          <w:tcPr>
            <w:tcW w:w="4069" w:type="dxa"/>
            <w:tcBorders>
              <w:bottom w:val="single" w:sz="4" w:space="0" w:color="auto"/>
            </w:tcBorders>
            <w:shd w:val="clear" w:color="auto" w:fill="BFBFBF"/>
            <w:vAlign w:val="center"/>
          </w:tcPr>
          <w:p w14:paraId="42155095" w14:textId="6A1D445F" w:rsidR="006F0EE9" w:rsidRPr="00F00A16" w:rsidRDefault="006F0EE9" w:rsidP="006F0EE9">
            <w:pPr>
              <w:pStyle w:val="Heading1"/>
              <w:spacing w:before="0" w:line="360" w:lineRule="auto"/>
              <w:jc w:val="center"/>
              <w:rPr>
                <w:sz w:val="28"/>
              </w:rPr>
            </w:pPr>
            <w:r w:rsidRPr="00F00A16">
              <w:rPr>
                <w:sz w:val="28"/>
              </w:rPr>
              <w:t>Measurement Uncertainty</w:t>
            </w:r>
            <w:r w:rsidR="00F00A16">
              <w:rPr>
                <w:sz w:val="28"/>
              </w:rPr>
              <w:t xml:space="preserve"> *</w:t>
            </w:r>
          </w:p>
        </w:tc>
      </w:tr>
      <w:tr w:rsidR="006F0EE9" w:rsidRPr="006F0EE9" w14:paraId="7CBC0AA9" w14:textId="77777777" w:rsidTr="0059672F">
        <w:trPr>
          <w:cantSplit/>
          <w:trHeight w:val="482"/>
        </w:trPr>
        <w:tc>
          <w:tcPr>
            <w:tcW w:w="3756" w:type="dxa"/>
            <w:tcBorders>
              <w:bottom w:val="single" w:sz="4" w:space="0" w:color="auto"/>
            </w:tcBorders>
            <w:shd w:val="clear" w:color="auto" w:fill="D9D9D9"/>
            <w:vAlign w:val="center"/>
          </w:tcPr>
          <w:p w14:paraId="7FD794BA" w14:textId="77777777" w:rsidR="006F0EE9" w:rsidRPr="006F0EE9" w:rsidRDefault="006F0EE9" w:rsidP="006F0EE9">
            <w:pPr>
              <w:ind w:right="-8" w:firstLine="34"/>
              <w:jc w:val="center"/>
              <w:rPr>
                <w:rFonts w:cs="Arial"/>
                <w:szCs w:val="22"/>
              </w:rPr>
            </w:pPr>
            <w:r w:rsidRPr="006F0EE9">
              <w:rPr>
                <w:rFonts w:cs="Arial"/>
                <w:szCs w:val="22"/>
              </w:rPr>
              <w:t>Membrane Filtration</w:t>
            </w:r>
          </w:p>
        </w:tc>
        <w:tc>
          <w:tcPr>
            <w:tcW w:w="4069" w:type="dxa"/>
            <w:tcBorders>
              <w:bottom w:val="single" w:sz="4" w:space="0" w:color="auto"/>
            </w:tcBorders>
            <w:shd w:val="clear" w:color="auto" w:fill="D9D9D9"/>
            <w:vAlign w:val="center"/>
          </w:tcPr>
          <w:p w14:paraId="0C71970A" w14:textId="3311DC8B" w:rsidR="006F0EE9" w:rsidRPr="006F0EE9" w:rsidRDefault="006F0EE9" w:rsidP="006F0EE9">
            <w:pPr>
              <w:ind w:right="-8" w:firstLine="34"/>
              <w:jc w:val="center"/>
              <w:rPr>
                <w:rFonts w:cs="Arial"/>
                <w:szCs w:val="22"/>
              </w:rPr>
            </w:pPr>
            <w:r w:rsidRPr="006F0EE9">
              <w:rPr>
                <w:rFonts w:cs="Arial"/>
                <w:szCs w:val="22"/>
              </w:rPr>
              <w:t>0.</w:t>
            </w:r>
            <w:r w:rsidR="00423D4A">
              <w:rPr>
                <w:rFonts w:cs="Arial"/>
                <w:szCs w:val="22"/>
              </w:rPr>
              <w:t>0</w:t>
            </w:r>
            <w:r w:rsidR="00C536EF">
              <w:rPr>
                <w:rFonts w:cs="Arial"/>
                <w:szCs w:val="22"/>
              </w:rPr>
              <w:t>15</w:t>
            </w:r>
            <w:r w:rsidRPr="006F0EE9">
              <w:rPr>
                <w:rFonts w:cs="Arial"/>
                <w:szCs w:val="22"/>
              </w:rPr>
              <w:t xml:space="preserve"> Log</w:t>
            </w:r>
            <w:r w:rsidRPr="006F0EE9">
              <w:rPr>
                <w:rFonts w:cs="Arial"/>
                <w:szCs w:val="22"/>
                <w:vertAlign w:val="subscript"/>
              </w:rPr>
              <w:t>10</w:t>
            </w:r>
          </w:p>
        </w:tc>
      </w:tr>
      <w:tr w:rsidR="006F0EE9" w:rsidRPr="006F0EE9" w14:paraId="0A3CF8D3" w14:textId="77777777" w:rsidTr="0059672F">
        <w:trPr>
          <w:cantSplit/>
          <w:trHeight w:val="482"/>
        </w:trPr>
        <w:tc>
          <w:tcPr>
            <w:tcW w:w="3756" w:type="dxa"/>
            <w:tcBorders>
              <w:bottom w:val="single" w:sz="4" w:space="0" w:color="auto"/>
            </w:tcBorders>
            <w:shd w:val="clear" w:color="auto" w:fill="F2F2F2"/>
            <w:vAlign w:val="center"/>
          </w:tcPr>
          <w:p w14:paraId="54F1DFCB" w14:textId="77777777" w:rsidR="006F0EE9" w:rsidRPr="006F0EE9" w:rsidRDefault="006F0EE9" w:rsidP="006F0EE9">
            <w:pPr>
              <w:ind w:right="-8" w:firstLine="34"/>
              <w:jc w:val="center"/>
              <w:rPr>
                <w:rFonts w:cs="Arial"/>
                <w:szCs w:val="22"/>
              </w:rPr>
            </w:pPr>
            <w:r w:rsidRPr="006F0EE9">
              <w:rPr>
                <w:rFonts w:cs="Arial"/>
                <w:szCs w:val="22"/>
              </w:rPr>
              <w:t>Standard Plate Count</w:t>
            </w:r>
          </w:p>
        </w:tc>
        <w:tc>
          <w:tcPr>
            <w:tcW w:w="4069" w:type="dxa"/>
            <w:tcBorders>
              <w:bottom w:val="single" w:sz="4" w:space="0" w:color="auto"/>
            </w:tcBorders>
            <w:shd w:val="clear" w:color="auto" w:fill="F2F2F2"/>
            <w:vAlign w:val="center"/>
          </w:tcPr>
          <w:p w14:paraId="5E2345E3" w14:textId="3C9A59FE" w:rsidR="006F0EE9" w:rsidRPr="006F0EE9" w:rsidRDefault="006F0EE9" w:rsidP="006F0EE9">
            <w:pPr>
              <w:ind w:right="-8" w:firstLine="34"/>
              <w:jc w:val="center"/>
              <w:rPr>
                <w:rFonts w:cs="Arial"/>
                <w:szCs w:val="22"/>
              </w:rPr>
            </w:pPr>
            <w:r w:rsidRPr="006F0EE9">
              <w:rPr>
                <w:rFonts w:cs="Arial"/>
                <w:szCs w:val="22"/>
              </w:rPr>
              <w:t>0.</w:t>
            </w:r>
            <w:r w:rsidR="00423D4A">
              <w:rPr>
                <w:rFonts w:cs="Arial"/>
                <w:szCs w:val="22"/>
              </w:rPr>
              <w:t>060</w:t>
            </w:r>
            <w:r w:rsidRPr="006F0EE9">
              <w:rPr>
                <w:rFonts w:cs="Arial"/>
                <w:szCs w:val="22"/>
              </w:rPr>
              <w:t xml:space="preserve"> Log</w:t>
            </w:r>
            <w:r w:rsidRPr="006F0EE9">
              <w:rPr>
                <w:rFonts w:cs="Arial"/>
                <w:szCs w:val="22"/>
                <w:vertAlign w:val="subscript"/>
              </w:rPr>
              <w:t>10</w:t>
            </w:r>
          </w:p>
        </w:tc>
      </w:tr>
      <w:tr w:rsidR="006F0EE9" w:rsidRPr="006F0EE9" w14:paraId="2C78A1E0" w14:textId="77777777" w:rsidTr="0059672F">
        <w:trPr>
          <w:cantSplit/>
          <w:trHeight w:val="482"/>
        </w:trPr>
        <w:tc>
          <w:tcPr>
            <w:tcW w:w="3756" w:type="dxa"/>
            <w:shd w:val="clear" w:color="auto" w:fill="D9D9D9"/>
            <w:vAlign w:val="center"/>
          </w:tcPr>
          <w:p w14:paraId="60226495" w14:textId="77777777" w:rsidR="006F0EE9" w:rsidRPr="006F0EE9" w:rsidRDefault="006F0EE9" w:rsidP="006F0EE9">
            <w:pPr>
              <w:ind w:right="-8" w:firstLine="34"/>
              <w:jc w:val="center"/>
              <w:rPr>
                <w:rFonts w:cs="Arial"/>
                <w:szCs w:val="22"/>
              </w:rPr>
            </w:pPr>
            <w:r w:rsidRPr="006F0EE9">
              <w:rPr>
                <w:rFonts w:cs="Arial"/>
                <w:szCs w:val="22"/>
              </w:rPr>
              <w:t>MPN</w:t>
            </w:r>
          </w:p>
        </w:tc>
        <w:tc>
          <w:tcPr>
            <w:tcW w:w="4069" w:type="dxa"/>
            <w:shd w:val="clear" w:color="auto" w:fill="D9D9D9"/>
            <w:vAlign w:val="center"/>
          </w:tcPr>
          <w:p w14:paraId="22798F3B" w14:textId="4CBD460A" w:rsidR="006F0EE9" w:rsidRPr="006F0EE9" w:rsidRDefault="006F0EE9" w:rsidP="006F0EE9">
            <w:pPr>
              <w:ind w:right="-8" w:firstLine="34"/>
              <w:jc w:val="center"/>
              <w:rPr>
                <w:rFonts w:cs="Arial"/>
                <w:szCs w:val="22"/>
              </w:rPr>
            </w:pPr>
            <w:r w:rsidRPr="006F0EE9">
              <w:rPr>
                <w:rFonts w:cs="Arial"/>
                <w:szCs w:val="22"/>
              </w:rPr>
              <w:t>0.</w:t>
            </w:r>
            <w:r w:rsidR="00423D4A">
              <w:rPr>
                <w:rFonts w:cs="Arial"/>
                <w:szCs w:val="22"/>
              </w:rPr>
              <w:t>096</w:t>
            </w:r>
            <w:r w:rsidRPr="006F0EE9">
              <w:rPr>
                <w:rFonts w:cs="Arial"/>
                <w:szCs w:val="22"/>
              </w:rPr>
              <w:t xml:space="preserve"> Log</w:t>
            </w:r>
            <w:r w:rsidRPr="006F0EE9">
              <w:rPr>
                <w:rFonts w:cs="Arial"/>
                <w:szCs w:val="22"/>
                <w:vertAlign w:val="subscript"/>
              </w:rPr>
              <w:t>10</w:t>
            </w:r>
          </w:p>
        </w:tc>
      </w:tr>
      <w:tr w:rsidR="006F0EE9" w:rsidRPr="006F0EE9" w14:paraId="39071A7B" w14:textId="77777777" w:rsidTr="0059672F">
        <w:trPr>
          <w:cantSplit/>
          <w:trHeight w:val="482"/>
        </w:trPr>
        <w:tc>
          <w:tcPr>
            <w:tcW w:w="3756" w:type="dxa"/>
            <w:shd w:val="clear" w:color="auto" w:fill="F2F2F2"/>
            <w:vAlign w:val="center"/>
          </w:tcPr>
          <w:p w14:paraId="2AE6E73E" w14:textId="77777777" w:rsidR="006F0EE9" w:rsidRPr="006F0EE9" w:rsidRDefault="006F0EE9" w:rsidP="006F0EE9">
            <w:pPr>
              <w:ind w:right="-8"/>
              <w:jc w:val="center"/>
              <w:rPr>
                <w:rFonts w:cs="Arial"/>
                <w:szCs w:val="22"/>
              </w:rPr>
            </w:pPr>
            <w:r w:rsidRPr="006F0EE9">
              <w:rPr>
                <w:rFonts w:cs="Arial"/>
                <w:szCs w:val="22"/>
              </w:rPr>
              <w:t>Staph</w:t>
            </w:r>
          </w:p>
        </w:tc>
        <w:tc>
          <w:tcPr>
            <w:tcW w:w="4069" w:type="dxa"/>
            <w:shd w:val="clear" w:color="auto" w:fill="F2F2F2"/>
            <w:vAlign w:val="center"/>
          </w:tcPr>
          <w:p w14:paraId="7741F955" w14:textId="3CB438E3" w:rsidR="006F0EE9" w:rsidRPr="006F0EE9" w:rsidRDefault="006F0EE9" w:rsidP="006F0EE9">
            <w:pPr>
              <w:ind w:right="-8"/>
              <w:jc w:val="center"/>
              <w:rPr>
                <w:rFonts w:cs="Arial"/>
                <w:szCs w:val="22"/>
              </w:rPr>
            </w:pPr>
            <w:r w:rsidRPr="006F0EE9">
              <w:rPr>
                <w:rFonts w:cs="Arial"/>
                <w:szCs w:val="22"/>
              </w:rPr>
              <w:t>0.</w:t>
            </w:r>
            <w:r w:rsidR="00423D4A">
              <w:rPr>
                <w:rFonts w:cs="Arial"/>
                <w:szCs w:val="22"/>
              </w:rPr>
              <w:t>061</w:t>
            </w:r>
            <w:r w:rsidRPr="006F0EE9">
              <w:rPr>
                <w:rFonts w:cs="Arial"/>
                <w:szCs w:val="22"/>
              </w:rPr>
              <w:t xml:space="preserve"> Log</w:t>
            </w:r>
            <w:r w:rsidRPr="006F0EE9">
              <w:rPr>
                <w:rFonts w:cs="Arial"/>
                <w:szCs w:val="22"/>
                <w:vertAlign w:val="subscript"/>
              </w:rPr>
              <w:t>10</w:t>
            </w:r>
          </w:p>
        </w:tc>
      </w:tr>
    </w:tbl>
    <w:p w14:paraId="608FAA09" w14:textId="48FAEEAE" w:rsidR="006F0EE9" w:rsidRDefault="006F0EE9" w:rsidP="006F0EE9">
      <w:pPr>
        <w:ind w:right="-8" w:firstLine="709"/>
        <w:rPr>
          <w:rFonts w:cs="Arial"/>
          <w:szCs w:val="22"/>
        </w:rPr>
      </w:pPr>
      <w:r w:rsidRPr="006F0EE9">
        <w:rPr>
          <w:rFonts w:cs="Arial"/>
          <w:szCs w:val="22"/>
        </w:rPr>
        <w:t xml:space="preserve">*Published </w:t>
      </w:r>
      <w:r w:rsidR="00423D4A">
        <w:rPr>
          <w:rFonts w:cs="Arial"/>
          <w:szCs w:val="22"/>
        </w:rPr>
        <w:t>07/01/2022</w:t>
      </w:r>
      <w:bookmarkEnd w:id="0"/>
    </w:p>
    <w:sectPr w:rsidR="006F0EE9" w:rsidSect="0059672F">
      <w:footerReference w:type="default" r:id="rId8"/>
      <w:headerReference w:type="first" r:id="rId9"/>
      <w:footerReference w:type="first" r:id="rId10"/>
      <w:pgSz w:w="11900" w:h="16840"/>
      <w:pgMar w:top="370" w:right="851" w:bottom="142" w:left="851" w:header="59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B3F8" w14:textId="77777777" w:rsidR="000A4398" w:rsidRDefault="000A4398" w:rsidP="00CB0DB5">
      <w:r>
        <w:separator/>
      </w:r>
    </w:p>
  </w:endnote>
  <w:endnote w:type="continuationSeparator" w:id="0">
    <w:p w14:paraId="38290B89" w14:textId="77777777" w:rsidR="000A4398" w:rsidRDefault="000A4398"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7712" w14:textId="72DEA00A" w:rsidR="00F00A16" w:rsidRDefault="00F00A16" w:rsidP="002C2451">
    <w:pPr>
      <w:pStyle w:val="Footer"/>
      <w:jc w:val="center"/>
    </w:pPr>
    <w:r w:rsidRPr="008B4454">
      <w:rPr>
        <w:rStyle w:val="PageNumber"/>
      </w:rPr>
      <w:fldChar w:fldCharType="begin"/>
    </w:r>
    <w:r w:rsidRPr="008B4454">
      <w:rPr>
        <w:rStyle w:val="PageNumber"/>
      </w:rPr>
      <w:instrText xml:space="preserve"> PAGE </w:instrText>
    </w:r>
    <w:r w:rsidRPr="008B4454">
      <w:rPr>
        <w:rStyle w:val="PageNumber"/>
      </w:rPr>
      <w:fldChar w:fldCharType="separate"/>
    </w:r>
    <w:r w:rsidR="0059672F">
      <w:rPr>
        <w:rStyle w:val="PageNumber"/>
        <w:noProof/>
      </w:rPr>
      <w:t>2</w:t>
    </w:r>
    <w:r w:rsidRPr="008B445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B0B6" w14:textId="5035E0F6" w:rsidR="00F00A16" w:rsidRDefault="00F00A16" w:rsidP="002E3C84">
    <w:pPr>
      <w:rPr>
        <w:rFonts w:cs="Arial"/>
        <w:sz w:val="18"/>
        <w:szCs w:val="18"/>
      </w:rPr>
    </w:pPr>
    <w:r>
      <w:rPr>
        <w:rFonts w:cs="Arial"/>
        <w:noProof/>
        <w:sz w:val="18"/>
        <w:szCs w:val="18"/>
        <w:lang w:eastAsia="en-AU"/>
      </w:rPr>
      <mc:AlternateContent>
        <mc:Choice Requires="wps">
          <w:drawing>
            <wp:anchor distT="0" distB="0" distL="114300" distR="114300" simplePos="0" relativeHeight="251681792" behindDoc="0" locked="0" layoutInCell="1" allowOverlap="1" wp14:anchorId="3A3956FD" wp14:editId="44CAF024">
              <wp:simplePos x="0" y="0"/>
              <wp:positionH relativeFrom="column">
                <wp:posOffset>5715</wp:posOffset>
              </wp:positionH>
              <wp:positionV relativeFrom="page">
                <wp:posOffset>9420556</wp:posOffset>
              </wp:positionV>
              <wp:extent cx="64795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737CF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41.8pt" to="510.6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" strokecolor="#bfbfbf [2412]" strokeweight=".5pt">
              <v:stroke joinstyle="miter"/>
              <w10:wrap anchory="page"/>
            </v:line>
          </w:pict>
        </mc:Fallback>
      </mc:AlternateContent>
    </w:r>
    <w:r>
      <w:rPr>
        <w:rFonts w:cs="Arial"/>
        <w:noProof/>
        <w:sz w:val="18"/>
        <w:szCs w:val="18"/>
        <w:lang w:eastAsia="en-AU"/>
      </w:rPr>
      <mc:AlternateContent>
        <mc:Choice Requires="wps">
          <w:drawing>
            <wp:anchor distT="0" distB="0" distL="0" distR="0" simplePos="0" relativeHeight="251680768" behindDoc="1" locked="0" layoutInCell="1" allowOverlap="1" wp14:anchorId="386B72D0" wp14:editId="58D89566">
              <wp:simplePos x="0" y="0"/>
              <wp:positionH relativeFrom="column">
                <wp:posOffset>-540385</wp:posOffset>
              </wp:positionH>
              <wp:positionV relativeFrom="page">
                <wp:posOffset>8952865</wp:posOffset>
              </wp:positionV>
              <wp:extent cx="7563485" cy="792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7920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20A5" id="Rectangle 3" o:spid="_x0000_s1026" style="position:absolute;margin-left:-42.55pt;margin-top:704.95pt;width:595.55pt;height:62.3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" filled="f" stroked="f" strokeweight="1pt">
              <w10:wrap type="square" anchory="page"/>
            </v:rect>
          </w:pict>
        </mc:Fallback>
      </mc:AlternateContent>
    </w:r>
    <w:r>
      <w:rPr>
        <w:rFonts w:cs="Arial"/>
        <w:noProof/>
        <w:sz w:val="18"/>
        <w:szCs w:val="18"/>
        <w:lang w:eastAsia="en-AU"/>
      </w:rPr>
      <w:drawing>
        <wp:anchor distT="0" distB="0" distL="114300" distR="114300" simplePos="0" relativeHeight="251682816" behindDoc="0" locked="0" layoutInCell="1" allowOverlap="1" wp14:anchorId="31B4A4B4" wp14:editId="7A1F48BB">
          <wp:simplePos x="0" y="0"/>
          <wp:positionH relativeFrom="column">
            <wp:posOffset>4755515</wp:posOffset>
          </wp:positionH>
          <wp:positionV relativeFrom="page">
            <wp:posOffset>9486900</wp:posOffset>
          </wp:positionV>
          <wp:extent cx="1862455" cy="1046480"/>
          <wp:effectExtent l="0" t="0" r="0" b="0"/>
          <wp:wrapNone/>
          <wp:docPr id="47" name="Picture 47"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cs="Arial"/>
        <w:noProof/>
        <w:sz w:val="18"/>
        <w:szCs w:val="18"/>
        <w:lang w:eastAsia="en-AU"/>
      </w:rPr>
      <w:t>Biosecurity SA - SASQAP</w:t>
    </w:r>
  </w:p>
  <w:p w14:paraId="50CC0EC2" w14:textId="22C6C7F2" w:rsidR="00F00A16" w:rsidRDefault="00F00A16" w:rsidP="002E3C84">
    <w:pPr>
      <w:rPr>
        <w:rFonts w:cs="Arial"/>
        <w:sz w:val="18"/>
        <w:szCs w:val="18"/>
      </w:rPr>
    </w:pPr>
    <w:r>
      <w:rPr>
        <w:rFonts w:cs="Arial"/>
        <w:sz w:val="18"/>
        <w:szCs w:val="18"/>
      </w:rPr>
      <w:t>Phone: 08 8688 3411 / 0428 105 649</w:t>
    </w:r>
  </w:p>
  <w:p w14:paraId="3AFF2AD6" w14:textId="2B0E343F" w:rsidR="00F00A16" w:rsidRPr="002E3C84" w:rsidRDefault="00F00A16" w:rsidP="002E3C84">
    <w:pPr>
      <w:rPr>
        <w:rFonts w:cs="Arial"/>
        <w:sz w:val="18"/>
        <w:szCs w:val="18"/>
      </w:rPr>
    </w:pPr>
    <w:r>
      <w:rPr>
        <w:rFonts w:cs="Arial"/>
        <w:sz w:val="18"/>
        <w:szCs w:val="18"/>
      </w:rPr>
      <w:t>clinton.wilkinson@sa.gov.au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DAA25" w14:textId="77777777" w:rsidR="000A4398" w:rsidRDefault="000A4398" w:rsidP="00CB0DB5">
      <w:r>
        <w:separator/>
      </w:r>
    </w:p>
  </w:footnote>
  <w:footnote w:type="continuationSeparator" w:id="0">
    <w:p w14:paraId="5A99E712" w14:textId="77777777" w:rsidR="000A4398" w:rsidRDefault="000A4398"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1D9EF8F2" w:rsidR="00F00A16" w:rsidRDefault="00F00A16">
    <w:r>
      <w:rPr>
        <w:noProof/>
        <w:lang w:eastAsia="en-AU"/>
      </w:rPr>
      <w:drawing>
        <wp:anchor distT="0" distB="252095" distL="114300" distR="114300" simplePos="0" relativeHeight="251677695" behindDoc="1" locked="1" layoutInCell="1" allowOverlap="1" wp14:anchorId="76C11F32" wp14:editId="47569625">
          <wp:simplePos x="0" y="0"/>
          <wp:positionH relativeFrom="page">
            <wp:posOffset>175260</wp:posOffset>
          </wp:positionH>
          <wp:positionV relativeFrom="page">
            <wp:posOffset>175260</wp:posOffset>
          </wp:positionV>
          <wp:extent cx="7206615" cy="852805"/>
          <wp:effectExtent l="0" t="0" r="0" b="0"/>
          <wp:wrapTopAndBottom/>
          <wp:docPr id="46" name="Picture 46"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RSA Generic Header.png"/>
                  <pic:cNvPicPr/>
                </pic:nvPicPr>
                <pic:blipFill>
                  <a:blip r:embed="rId1">
                    <a:extLst>
                      <a:ext uri="{28A0092B-C50C-407E-A947-70E740481C1C}">
                        <a14:useLocalDpi xmlns:a14="http://schemas.microsoft.com/office/drawing/2010/main" val="0"/>
                      </a:ext>
                    </a:extLst>
                  </a:blip>
                  <a:stretch>
                    <a:fillRect/>
                  </a:stretch>
                </pic:blipFill>
                <pic:spPr>
                  <a:xfrm>
                    <a:off x="0" y="0"/>
                    <a:ext cx="720661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14300" distB="114300" distL="114300" distR="114300" simplePos="0" relativeHeight="251678720" behindDoc="0" locked="1" layoutInCell="1" allowOverlap="1" wp14:anchorId="074A18A9" wp14:editId="41C7F264">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BB078E" w14:textId="101398CF" w:rsidR="00F00A16" w:rsidRPr="002C2451" w:rsidRDefault="00F00A16" w:rsidP="002E3C84">
                          <w:pPr>
                            <w:spacing w:line="240" w:lineRule="auto"/>
                            <w:rPr>
                              <w:color w:val="FFFFFF" w:themeColor="background1"/>
                              <w:sz w:val="40"/>
                              <w:szCs w:val="40"/>
                              <w:lang w:val="en-US"/>
                            </w:rPr>
                          </w:pPr>
                          <w:r>
                            <w:rPr>
                              <w:color w:val="FFFFFF" w:themeColor="background1"/>
                              <w:sz w:val="40"/>
                              <w:szCs w:val="40"/>
                              <w:lang w:val="en-US"/>
                            </w:rPr>
                            <w:t>Fact sheet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18A9"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" filled="f" stroked="f">
              <v:textbox inset="0,0,0,0">
                <w:txbxContent>
                  <w:p w14:paraId="78BB078E" w14:textId="101398CF" w:rsidR="00F00A16" w:rsidRPr="002C2451" w:rsidRDefault="00F00A16" w:rsidP="002E3C84">
                    <w:pPr>
                      <w:spacing w:line="240" w:lineRule="auto"/>
                      <w:rPr>
                        <w:color w:val="FFFFFF" w:themeColor="background1"/>
                        <w:sz w:val="40"/>
                        <w:szCs w:val="40"/>
                        <w:lang w:val="en-US"/>
                      </w:rPr>
                    </w:pPr>
                    <w:r>
                      <w:rPr>
                        <w:color w:val="FFFFFF" w:themeColor="background1"/>
                        <w:sz w:val="40"/>
                        <w:szCs w:val="40"/>
                        <w:lang w:val="en-US"/>
                      </w:rPr>
                      <w:t>Fact sheet</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25E04"/>
    <w:rsid w:val="000A4398"/>
    <w:rsid w:val="000B42DE"/>
    <w:rsid w:val="000D4B1E"/>
    <w:rsid w:val="000D518F"/>
    <w:rsid w:val="00160A57"/>
    <w:rsid w:val="00191B5B"/>
    <w:rsid w:val="001F4ADF"/>
    <w:rsid w:val="00230010"/>
    <w:rsid w:val="00285042"/>
    <w:rsid w:val="002C2451"/>
    <w:rsid w:val="002E3C84"/>
    <w:rsid w:val="003033DB"/>
    <w:rsid w:val="003B123B"/>
    <w:rsid w:val="003F7C39"/>
    <w:rsid w:val="00423D4A"/>
    <w:rsid w:val="004A7B65"/>
    <w:rsid w:val="004C13AC"/>
    <w:rsid w:val="0056637E"/>
    <w:rsid w:val="00594496"/>
    <w:rsid w:val="0059672F"/>
    <w:rsid w:val="005C6607"/>
    <w:rsid w:val="005F32CB"/>
    <w:rsid w:val="00615E1A"/>
    <w:rsid w:val="00625F0A"/>
    <w:rsid w:val="006C7F74"/>
    <w:rsid w:val="006D2586"/>
    <w:rsid w:val="006F0EE9"/>
    <w:rsid w:val="0071402D"/>
    <w:rsid w:val="00757A15"/>
    <w:rsid w:val="007E2CF9"/>
    <w:rsid w:val="007F04A9"/>
    <w:rsid w:val="00825FB5"/>
    <w:rsid w:val="008824D4"/>
    <w:rsid w:val="008C1B04"/>
    <w:rsid w:val="008D1E78"/>
    <w:rsid w:val="008E7AEC"/>
    <w:rsid w:val="00950533"/>
    <w:rsid w:val="009C751B"/>
    <w:rsid w:val="009F7275"/>
    <w:rsid w:val="00A179A9"/>
    <w:rsid w:val="00A33F16"/>
    <w:rsid w:val="00A35D3F"/>
    <w:rsid w:val="00AF5DA3"/>
    <w:rsid w:val="00B145F1"/>
    <w:rsid w:val="00B2037C"/>
    <w:rsid w:val="00BF2658"/>
    <w:rsid w:val="00C536EF"/>
    <w:rsid w:val="00CB0DB5"/>
    <w:rsid w:val="00CD73B5"/>
    <w:rsid w:val="00CD78ED"/>
    <w:rsid w:val="00D53432"/>
    <w:rsid w:val="00DC17B9"/>
    <w:rsid w:val="00E03C09"/>
    <w:rsid w:val="00E155FE"/>
    <w:rsid w:val="00E9454B"/>
    <w:rsid w:val="00EC0ED0"/>
    <w:rsid w:val="00F00A16"/>
    <w:rsid w:val="00F62F9A"/>
    <w:rsid w:val="00FD0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0FFB1C33-A072-464F-B8FD-4E8D9487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FD08A6"/>
    <w:pPr>
      <w:spacing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FD08A6"/>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A5315298</value>
    </field>
    <field name="Objective-Title">
      <value order="0">SASQAP's Measurement Uncertainty_220107</value>
    </field>
    <field name="Objective-Description">
      <value order="0"/>
    </field>
    <field name="Objective-CreationStamp">
      <value order="0">2022-02-14T08:05:15Z</value>
    </field>
    <field name="Objective-IsApproved">
      <value order="0">false</value>
    </field>
    <field name="Objective-IsPublished">
      <value order="0">true</value>
    </field>
    <field name="Objective-DatePublished">
      <value order="0">2022-02-14T08:06:47Z</value>
    </field>
    <field name="Objective-ModificationStamp">
      <value order="0">2022-02-14T08:06:47Z</value>
    </field>
    <field name="Objective-Owner">
      <value order="0">Stephens, Beverly</value>
    </field>
    <field name="Objective-Path">
      <value order="0">Global Folder:01 Biosecurity SA:Seafood Safety:Quality Management:SASQAP NATA Quality System:Proficency Lab Results:SEAFOOD SAFETY - Quality Management - SASQAP Quality System - Proficency Lab Results:Measurement of Uncertainty:Measurement of Uncertainity (webpage)</value>
    </field>
    <field name="Objective-Parent">
      <value order="0">Measurement of Uncertainity (webpage)</value>
    </field>
    <field name="Objective-State">
      <value order="0">Published</value>
    </field>
    <field name="Objective-VersionId">
      <value order="0">vA8714088</value>
    </field>
    <field name="Objective-Version">
      <value order="0">1.0</value>
    </field>
    <field name="Objective-VersionNumber">
      <value order="0">2</value>
    </field>
    <field name="Objective-VersionComment">
      <value order="0">Version 2</value>
    </field>
    <field name="Objective-FileNumber">
      <value order="0">BIO F2011/000212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SASQAP</value>
      </field>
      <field name="Objective-Document Type">
        <value order="0">Information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https://objectivesag.pirsa.sa.gov.au/id:A5315298/document/versions/published</value>
      </field>
      <field name="Objective-Intranet URL Keyword">
        <value order="0">%globals_asset_metadata_PublishedURL%</value>
      </field>
      <field name="Objective-Intranet Short Name">
        <value order="0">A5315298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1241</Characters>
  <Application>Microsoft Office Word</Application>
  <DocSecurity>0</DocSecurity>
  <Lines>32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Stephens, Beverly (PIRSA)</cp:lastModifiedBy>
  <cp:revision>2</cp:revision>
  <dcterms:created xsi:type="dcterms:W3CDTF">2022-02-14T08:10:00Z</dcterms:created>
  <dcterms:modified xsi:type="dcterms:W3CDTF">2022-02-14T08:10:00Z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A5315298</vt:lpwstr>
  </property>
  <property fmtid="{D5CDD505-2E9C-101B-9397-08002B2CF9AE}" pid="4" name="Objective-Title">
    <vt:lpwstr>SASQAP's Measurement Uncertainty_220107</vt:lpwstr>
  </property>
  <property fmtid="{D5CDD505-2E9C-101B-9397-08002B2CF9AE}" pid="5" name="Objective-Description">
    <vt:lpwstr/>
  </property>
  <property fmtid="{D5CDD505-2E9C-101B-9397-08002B2CF9AE}" pid="6" name="Objective-CreationStamp">
    <vt:filetime>2022-02-14T08:05:43Z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2022-02-14T08:06:47Z</vt:filetime>
  </property>
  <property fmtid="{D5CDD505-2E9C-101B-9397-08002B2CF9AE}" pid="10" name="Objective-ModificationStamp">
    <vt:filetime>2022-02-14T08:06:47Z</vt:filetime>
  </property>
  <property fmtid="{D5CDD505-2E9C-101B-9397-08002B2CF9AE}" pid="11" name="Objective-Owner">
    <vt:lpwstr>Stephens, Beverly</vt:lpwstr>
  </property>
  <property fmtid="{D5CDD505-2E9C-101B-9397-08002B2CF9AE}" pid="12" name="Objective-Path">
    <vt:lpwstr>Global Folder:01 Biosecurity SA:Seafood Safety:Quality Management:SASQAP NATA Quality System:Proficency Lab Results:SEAFOOD SAFETY - Quality Management - SASQAP Quality System - Proficency Lab Results:Measurement of Uncertainty:Measurement of Uncertainity (webpage):</vt:lpwstr>
  </property>
  <property fmtid="{D5CDD505-2E9C-101B-9397-08002B2CF9AE}" pid="13" name="Objective-Parent">
    <vt:lpwstr>Measurement of Uncertainity (webpage)</vt:lpwstr>
  </property>
  <property fmtid="{D5CDD505-2E9C-101B-9397-08002B2CF9AE}" pid="14" name="Objective-State">
    <vt:lpwstr>Published</vt:lpwstr>
  </property>
  <property fmtid="{D5CDD505-2E9C-101B-9397-08002B2CF9AE}" pid="15" name="Objective-VersionId">
    <vt:lpwstr>vA8714088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BIO F2011/000212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SASQAP</vt:lpwstr>
  </property>
  <property fmtid="{D5CDD505-2E9C-101B-9397-08002B2CF9AE}" pid="26" name="Objective-Document Type">
    <vt:lpwstr>Information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https://objectivesag.pirsa.sa.gov.au/id:A5315298/document/versions/published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A5315298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SASQAP</vt:lpwstr>
  </property>
  <property fmtid="{D5CDD505-2E9C-101B-9397-08002B2CF9AE}" pid="119" name="Objective-Document Type [system]">
    <vt:lpwstr>Information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https://objectivesag.pirsa.sa.gov.au/id:A5315298/document/versions/published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A5315298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