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EA" w:rsidRPr="000A74DD" w:rsidRDefault="00B10BEA" w:rsidP="000A74DD">
      <w:pPr>
        <w:spacing w:line="276" w:lineRule="auto"/>
        <w:rPr>
          <w:rStyle w:val="Bodytext895pt"/>
          <w:rFonts w:ascii="Arial" w:eastAsia="Arial Unicode MS" w:hAnsi="Arial" w:cs="Arial"/>
          <w:color w:val="00439E"/>
          <w:spacing w:val="0"/>
          <w:sz w:val="32"/>
          <w:szCs w:val="32"/>
          <w:lang w:val="en-AU" w:eastAsia="en-AU"/>
        </w:rPr>
      </w:pPr>
      <w:r w:rsidRPr="000A74DD">
        <w:rPr>
          <w:rStyle w:val="Bodytext895pt"/>
          <w:rFonts w:ascii="Arial" w:eastAsia="Arial Unicode MS" w:hAnsi="Arial" w:cs="Arial"/>
          <w:color w:val="00439E"/>
          <w:spacing w:val="0"/>
          <w:sz w:val="32"/>
          <w:szCs w:val="32"/>
          <w:lang w:val="en-AU" w:eastAsia="en-AU"/>
        </w:rPr>
        <w:t xml:space="preserve">FISHERIES </w:t>
      </w:r>
      <w:r w:rsidR="00CD788D">
        <w:rPr>
          <w:rStyle w:val="Bodytext895pt"/>
          <w:rFonts w:ascii="Arial" w:eastAsia="Arial Unicode MS" w:hAnsi="Arial" w:cs="Arial"/>
          <w:color w:val="00439E"/>
          <w:spacing w:val="0"/>
          <w:sz w:val="32"/>
          <w:szCs w:val="32"/>
          <w:lang w:val="en-AU" w:eastAsia="en-AU"/>
        </w:rPr>
        <w:t>BILL</w:t>
      </w:r>
      <w:r w:rsidR="00E042F9" w:rsidRPr="000A74DD">
        <w:rPr>
          <w:rStyle w:val="Bodytext895pt"/>
          <w:rFonts w:ascii="Arial" w:eastAsia="Arial Unicode MS" w:hAnsi="Arial" w:cs="Arial"/>
          <w:color w:val="00439E"/>
          <w:spacing w:val="0"/>
          <w:sz w:val="32"/>
          <w:szCs w:val="32"/>
          <w:lang w:val="en-AU" w:eastAsia="en-AU"/>
        </w:rPr>
        <w:t xml:space="preserve"> 1982</w:t>
      </w:r>
    </w:p>
    <w:p w:rsidR="00E042F9" w:rsidRPr="000A74DD" w:rsidRDefault="00E042F9" w:rsidP="000A74DD">
      <w:pPr>
        <w:pStyle w:val="BodyText"/>
        <w:shd w:val="clear" w:color="auto" w:fill="auto"/>
        <w:spacing w:line="276" w:lineRule="auto"/>
        <w:ind w:right="20"/>
        <w:jc w:val="left"/>
        <w:rPr>
          <w:rFonts w:ascii="Arial" w:hAnsi="Arial" w:cs="Arial"/>
          <w:sz w:val="24"/>
          <w:szCs w:val="24"/>
          <w:lang w:val="en-AU" w:eastAsia="en-US"/>
        </w:rPr>
      </w:pPr>
    </w:p>
    <w:p w:rsidR="00E042F9" w:rsidRPr="000A74DD" w:rsidRDefault="009D4168" w:rsidP="000A74DD">
      <w:pPr>
        <w:spacing w:line="276" w:lineRule="auto"/>
        <w:rPr>
          <w:rStyle w:val="Bodytext895pt"/>
          <w:rFonts w:ascii="Arial" w:eastAsia="Arial Unicode MS" w:hAnsi="Arial" w:cs="Arial"/>
          <w:color w:val="00439E"/>
          <w:spacing w:val="0"/>
          <w:sz w:val="28"/>
          <w:szCs w:val="28"/>
          <w:lang w:val="en-AU" w:eastAsia="en-AU"/>
        </w:rPr>
      </w:pPr>
      <w:r>
        <w:rPr>
          <w:rStyle w:val="Bodytext895pt"/>
          <w:rFonts w:ascii="Arial" w:eastAsia="Arial Unicode MS" w:hAnsi="Arial" w:cs="Arial"/>
          <w:color w:val="00439E"/>
          <w:spacing w:val="0"/>
          <w:sz w:val="28"/>
          <w:szCs w:val="28"/>
          <w:lang w:val="en-AU" w:eastAsia="en-AU"/>
        </w:rPr>
        <w:t>Legislative Council, 6 April 1982, Page</w:t>
      </w:r>
      <w:r w:rsidR="00E042F9" w:rsidRPr="000A74DD">
        <w:rPr>
          <w:rStyle w:val="Bodytext895pt"/>
          <w:rFonts w:ascii="Arial" w:eastAsia="Arial Unicode MS" w:hAnsi="Arial" w:cs="Arial"/>
          <w:color w:val="00439E"/>
          <w:spacing w:val="0"/>
          <w:sz w:val="28"/>
          <w:szCs w:val="28"/>
          <w:lang w:val="en-AU" w:eastAsia="en-AU"/>
        </w:rPr>
        <w:t xml:space="preserve"> 4053</w:t>
      </w:r>
    </w:p>
    <w:p w:rsidR="000A74DD" w:rsidRPr="000A74DD" w:rsidRDefault="000A74DD" w:rsidP="000A74DD">
      <w:pPr>
        <w:pStyle w:val="BodyText"/>
        <w:shd w:val="clear" w:color="auto" w:fill="auto"/>
        <w:spacing w:line="276" w:lineRule="auto"/>
        <w:ind w:right="20"/>
        <w:jc w:val="left"/>
        <w:rPr>
          <w:rFonts w:ascii="Arial" w:hAnsi="Arial" w:cs="Arial"/>
          <w:sz w:val="24"/>
          <w:szCs w:val="24"/>
          <w:lang w:val="en-AU" w:eastAsia="en-US"/>
        </w:rPr>
      </w:pPr>
    </w:p>
    <w:p w:rsidR="00B10BEA" w:rsidRPr="009D4168" w:rsidRDefault="009D4168" w:rsidP="000A74DD">
      <w:pPr>
        <w:spacing w:line="276" w:lineRule="auto"/>
        <w:rPr>
          <w:rStyle w:val="Bodytext895pt"/>
          <w:rFonts w:ascii="Arial" w:eastAsia="Arial Unicode MS" w:hAnsi="Arial" w:cs="Arial"/>
          <w:b w:val="0"/>
          <w:color w:val="00439E"/>
          <w:spacing w:val="0"/>
          <w:sz w:val="28"/>
          <w:szCs w:val="28"/>
          <w:lang w:val="en-AU" w:eastAsia="en-AU"/>
        </w:rPr>
      </w:pPr>
      <w:r w:rsidRPr="009D4168">
        <w:rPr>
          <w:rStyle w:val="Bodytext895pt"/>
          <w:rFonts w:ascii="Arial" w:eastAsia="Arial Unicode MS" w:hAnsi="Arial" w:cs="Arial"/>
          <w:b w:val="0"/>
          <w:color w:val="00439E"/>
          <w:spacing w:val="0"/>
          <w:sz w:val="28"/>
          <w:szCs w:val="28"/>
          <w:lang w:val="en-AU" w:eastAsia="en-AU"/>
        </w:rPr>
        <w:t>Second reading</w:t>
      </w:r>
    </w:p>
    <w:p w:rsidR="000A74DD" w:rsidRPr="000A74DD" w:rsidRDefault="000A74DD" w:rsidP="000A74DD">
      <w:pPr>
        <w:pStyle w:val="BodyText"/>
        <w:shd w:val="clear" w:color="auto" w:fill="auto"/>
        <w:spacing w:line="276" w:lineRule="auto"/>
        <w:ind w:right="20"/>
        <w:jc w:val="left"/>
        <w:rPr>
          <w:rFonts w:ascii="Arial" w:hAnsi="Arial" w:cs="Arial"/>
          <w:sz w:val="24"/>
          <w:szCs w:val="24"/>
          <w:lang w:val="en-AU" w:eastAsia="en-US"/>
        </w:rPr>
      </w:pPr>
    </w:p>
    <w:p w:rsidR="00B10BEA" w:rsidRPr="000A74DD" w:rsidRDefault="00B10BEA" w:rsidP="000A74DD">
      <w:pPr>
        <w:pStyle w:val="BodyText"/>
        <w:shd w:val="clear" w:color="auto" w:fill="auto"/>
        <w:spacing w:line="276" w:lineRule="auto"/>
        <w:ind w:right="20"/>
        <w:jc w:val="left"/>
        <w:rPr>
          <w:rFonts w:ascii="Arial" w:hAnsi="Arial" w:cs="Arial"/>
          <w:b/>
          <w:bCs/>
          <w:sz w:val="24"/>
          <w:szCs w:val="24"/>
          <w:lang w:val="en-AU" w:eastAsia="en-US"/>
        </w:rPr>
      </w:pPr>
      <w:r w:rsidRPr="000A74DD">
        <w:rPr>
          <w:rFonts w:ascii="Arial" w:hAnsi="Arial" w:cs="Arial"/>
          <w:b/>
          <w:bCs/>
          <w:sz w:val="24"/>
          <w:szCs w:val="24"/>
          <w:lang w:val="en-AU" w:eastAsia="en-US"/>
        </w:rPr>
        <w:t>The Hon. C. M. HILL (Minister of Local Government):</w:t>
      </w:r>
    </w:p>
    <w:p w:rsidR="000A74DD" w:rsidRPr="000A74DD" w:rsidRDefault="000A74DD" w:rsidP="000A74DD">
      <w:pPr>
        <w:pStyle w:val="BodyText"/>
        <w:shd w:val="clear" w:color="auto" w:fill="auto"/>
        <w:spacing w:line="276" w:lineRule="auto"/>
        <w:ind w:right="20"/>
        <w:jc w:val="left"/>
        <w:rPr>
          <w:rFonts w:ascii="Arial" w:hAnsi="Arial" w:cs="Arial"/>
          <w:sz w:val="24"/>
          <w:szCs w:val="24"/>
          <w:lang w:val="en-AU" w:eastAsia="en-US"/>
        </w:rPr>
      </w:pPr>
    </w:p>
    <w:p w:rsidR="00B10BEA" w:rsidRPr="000A74DD" w:rsidRDefault="00B10BEA" w:rsidP="000A74DD">
      <w:pPr>
        <w:pStyle w:val="BodyText"/>
        <w:shd w:val="clear" w:color="auto" w:fill="auto"/>
        <w:spacing w:line="276" w:lineRule="auto"/>
        <w:ind w:right="20"/>
        <w:jc w:val="left"/>
        <w:rPr>
          <w:rFonts w:ascii="Arial" w:hAnsi="Arial" w:cs="Arial"/>
          <w:sz w:val="24"/>
          <w:szCs w:val="24"/>
          <w:lang w:val="en-AU" w:eastAsia="en-US"/>
        </w:rPr>
      </w:pPr>
      <w:r w:rsidRPr="000A74DD">
        <w:rPr>
          <w:rFonts w:ascii="Arial" w:hAnsi="Arial" w:cs="Arial"/>
          <w:sz w:val="24"/>
          <w:szCs w:val="24"/>
          <w:lang w:val="en-AU" w:eastAsia="en-US"/>
        </w:rPr>
        <w:t>I move:</w:t>
      </w:r>
    </w:p>
    <w:p w:rsidR="00B10BEA" w:rsidRPr="000A74DD" w:rsidRDefault="00B10BEA" w:rsidP="000A74DD">
      <w:pPr>
        <w:pStyle w:val="BodyText"/>
        <w:shd w:val="clear" w:color="auto" w:fill="auto"/>
        <w:spacing w:line="276" w:lineRule="auto"/>
        <w:ind w:right="20"/>
        <w:jc w:val="left"/>
        <w:rPr>
          <w:rFonts w:ascii="Arial" w:hAnsi="Arial" w:cs="Arial"/>
          <w:i/>
          <w:iCs/>
          <w:sz w:val="24"/>
          <w:szCs w:val="24"/>
          <w:lang w:val="en-AU" w:eastAsia="en-US"/>
        </w:rPr>
      </w:pPr>
      <w:r w:rsidRPr="000A74DD">
        <w:rPr>
          <w:rFonts w:ascii="Arial" w:hAnsi="Arial" w:cs="Arial"/>
          <w:i/>
          <w:iCs/>
          <w:sz w:val="24"/>
          <w:szCs w:val="24"/>
          <w:lang w:val="en-AU" w:eastAsia="en-US"/>
        </w:rPr>
        <w:t>That this Bill be now read a second time.</w:t>
      </w:r>
    </w:p>
    <w:p w:rsidR="000A74DD" w:rsidRPr="000A74DD" w:rsidRDefault="000A74DD" w:rsidP="000A74DD">
      <w:pPr>
        <w:pStyle w:val="BodyText"/>
        <w:shd w:val="clear" w:color="auto" w:fill="auto"/>
        <w:spacing w:line="276" w:lineRule="auto"/>
        <w:ind w:right="20"/>
        <w:jc w:val="left"/>
        <w:rPr>
          <w:rFonts w:ascii="Arial" w:hAnsi="Arial" w:cs="Arial"/>
          <w:sz w:val="24"/>
          <w:szCs w:val="24"/>
          <w:lang w:val="en-AU" w:eastAsia="en-US"/>
        </w:rPr>
      </w:pPr>
    </w:p>
    <w:p w:rsidR="000A74DD" w:rsidRPr="000A74DD" w:rsidRDefault="00B10BEA" w:rsidP="000A74DD">
      <w:pPr>
        <w:pStyle w:val="BodyText"/>
        <w:shd w:val="clear" w:color="auto" w:fill="auto"/>
        <w:spacing w:line="276" w:lineRule="auto"/>
        <w:ind w:right="20"/>
        <w:jc w:val="left"/>
        <w:rPr>
          <w:rFonts w:ascii="Arial" w:hAnsi="Arial" w:cs="Arial"/>
          <w:sz w:val="24"/>
          <w:szCs w:val="24"/>
          <w:lang w:val="en-AU" w:eastAsia="en-US"/>
        </w:rPr>
      </w:pPr>
      <w:r w:rsidRPr="000A74DD">
        <w:rPr>
          <w:rFonts w:ascii="Arial" w:hAnsi="Arial" w:cs="Arial"/>
          <w:sz w:val="24"/>
          <w:szCs w:val="24"/>
          <w:lang w:val="en-AU" w:eastAsia="en-US"/>
        </w:rPr>
        <w:t>I seek leave to have the explanation of the Bill inserted in Hansard without my reading it.</w:t>
      </w:r>
      <w:bookmarkStart w:id="0" w:name="_GoBack"/>
      <w:bookmarkEnd w:id="0"/>
    </w:p>
    <w:p w:rsidR="00B10BEA" w:rsidRPr="000A74DD" w:rsidRDefault="00B10BEA" w:rsidP="000A74DD">
      <w:pPr>
        <w:pStyle w:val="BodyText"/>
        <w:shd w:val="clear" w:color="auto" w:fill="auto"/>
        <w:spacing w:line="276" w:lineRule="auto"/>
        <w:ind w:right="20"/>
        <w:jc w:val="left"/>
        <w:rPr>
          <w:rFonts w:ascii="Arial" w:hAnsi="Arial" w:cs="Arial"/>
          <w:sz w:val="24"/>
          <w:szCs w:val="24"/>
          <w:lang w:val="en-AU" w:eastAsia="en-US"/>
        </w:rPr>
      </w:pPr>
      <w:r w:rsidRPr="000A74DD">
        <w:rPr>
          <w:rFonts w:ascii="Arial" w:hAnsi="Arial" w:cs="Arial"/>
          <w:sz w:val="24"/>
          <w:szCs w:val="24"/>
          <w:lang w:val="en-AU" w:eastAsia="en-US"/>
        </w:rPr>
        <w:t>Leave granted.</w:t>
      </w:r>
    </w:p>
    <w:p w:rsidR="000A74DD" w:rsidRPr="000A74DD" w:rsidRDefault="000A74DD" w:rsidP="000A74DD">
      <w:pPr>
        <w:pStyle w:val="BodyText"/>
        <w:shd w:val="clear" w:color="auto" w:fill="auto"/>
        <w:spacing w:line="276" w:lineRule="auto"/>
        <w:ind w:right="20"/>
        <w:jc w:val="left"/>
        <w:rPr>
          <w:rFonts w:ascii="Arial" w:hAnsi="Arial" w:cs="Arial"/>
          <w:sz w:val="24"/>
          <w:szCs w:val="24"/>
          <w:lang w:val="en-AU" w:eastAsia="en-US"/>
        </w:rPr>
      </w:pPr>
    </w:p>
    <w:p w:rsidR="00B10BEA" w:rsidRPr="000A74DD" w:rsidRDefault="00B10BEA" w:rsidP="000A74DD">
      <w:pPr>
        <w:pStyle w:val="BodyText"/>
        <w:shd w:val="clear" w:color="auto" w:fill="auto"/>
        <w:spacing w:line="276" w:lineRule="auto"/>
        <w:ind w:right="20"/>
        <w:jc w:val="center"/>
        <w:rPr>
          <w:rFonts w:ascii="Arial" w:hAnsi="Arial" w:cs="Arial"/>
          <w:b/>
          <w:bCs/>
          <w:sz w:val="24"/>
          <w:szCs w:val="24"/>
          <w:lang w:val="en-AU" w:eastAsia="en-US"/>
        </w:rPr>
      </w:pPr>
      <w:r w:rsidRPr="000A74DD">
        <w:rPr>
          <w:rFonts w:ascii="Arial" w:hAnsi="Arial" w:cs="Arial"/>
          <w:b/>
          <w:bCs/>
          <w:sz w:val="24"/>
          <w:szCs w:val="24"/>
          <w:lang w:val="en-AU" w:eastAsia="en-US"/>
        </w:rPr>
        <w:t>Explanation of Bill</w:t>
      </w:r>
    </w:p>
    <w:p w:rsidR="000A74DD" w:rsidRPr="000A74DD" w:rsidRDefault="000A74DD" w:rsidP="000A74DD">
      <w:pPr>
        <w:pStyle w:val="BodyText"/>
        <w:shd w:val="clear" w:color="auto" w:fill="auto"/>
        <w:spacing w:line="276" w:lineRule="auto"/>
        <w:ind w:right="20"/>
        <w:jc w:val="left"/>
        <w:rPr>
          <w:rFonts w:ascii="Arial" w:hAnsi="Arial" w:cs="Arial"/>
          <w:sz w:val="24"/>
          <w:szCs w:val="24"/>
          <w:lang w:val="en-AU"/>
        </w:rPr>
      </w:pPr>
    </w:p>
    <w:p w:rsidR="00274C13" w:rsidRDefault="00B10BEA" w:rsidP="00274C13">
      <w:pPr>
        <w:pStyle w:val="BodyText"/>
        <w:shd w:val="clear" w:color="auto" w:fill="auto"/>
        <w:spacing w:line="276" w:lineRule="auto"/>
        <w:ind w:right="20"/>
        <w:jc w:val="left"/>
        <w:rPr>
          <w:rFonts w:ascii="Arial" w:hAnsi="Arial" w:cs="Arial"/>
          <w:sz w:val="24"/>
          <w:szCs w:val="24"/>
          <w:lang w:val="en-AU" w:eastAsia="en-US"/>
        </w:rPr>
      </w:pPr>
      <w:r w:rsidRPr="000A74DD">
        <w:rPr>
          <w:rFonts w:ascii="Arial" w:hAnsi="Arial" w:cs="Arial"/>
          <w:sz w:val="24"/>
          <w:szCs w:val="24"/>
          <w:lang w:val="en-AU" w:eastAsia="en-US"/>
        </w:rPr>
        <w:t>This Bill is the product of a thorough review of existing fisheries legislation which was undertaken in consultation with interested parties, including the Australian Fishing Industry Council (AFIC), representing commercial fishermen and processors, the South Australian Recreational Fishing Advisory Council (SARFAC), representing recreational fishermen and the aquarium and fish farming trade. The Bill incorporates the Fisheries Act Amendment Bill introduced into this Council on 3 December 1981. That Bill gives effect to the fisheries part of the offshore constitutional settlement agreement. The Bill also contains the provisions of the Fibre and Sponges Act, 1909-73.</w:t>
      </w:r>
    </w:p>
    <w:p w:rsidR="00274C13" w:rsidRDefault="00274C13" w:rsidP="00274C13">
      <w:pPr>
        <w:pStyle w:val="BodyText"/>
        <w:shd w:val="clear" w:color="auto" w:fill="auto"/>
        <w:spacing w:line="276" w:lineRule="auto"/>
        <w:ind w:right="20"/>
        <w:jc w:val="left"/>
        <w:rPr>
          <w:rFonts w:ascii="Arial" w:hAnsi="Arial" w:cs="Arial"/>
          <w:sz w:val="24"/>
          <w:szCs w:val="24"/>
          <w:lang w:val="en-AU" w:eastAsia="en-US"/>
        </w:rPr>
      </w:pPr>
    </w:p>
    <w:p w:rsidR="00274C13" w:rsidRDefault="00B10BEA" w:rsidP="00274C13">
      <w:pPr>
        <w:pStyle w:val="BodyText"/>
        <w:shd w:val="clear" w:color="auto" w:fill="auto"/>
        <w:spacing w:line="276" w:lineRule="auto"/>
        <w:ind w:right="20"/>
        <w:jc w:val="left"/>
        <w:rPr>
          <w:rFonts w:ascii="Arial" w:hAnsi="Arial" w:cs="Arial"/>
          <w:sz w:val="24"/>
          <w:szCs w:val="24"/>
          <w:lang w:val="en-AU" w:eastAsia="en-US"/>
        </w:rPr>
      </w:pPr>
      <w:r w:rsidRPr="000A74DD">
        <w:rPr>
          <w:rFonts w:ascii="Arial" w:hAnsi="Arial" w:cs="Arial"/>
          <w:sz w:val="24"/>
          <w:szCs w:val="24"/>
          <w:lang w:val="en-AU" w:eastAsia="en-US"/>
        </w:rPr>
        <w:t>The new Fisheries Bill implements the Government's policies for the development of the fishing industry in South Australia. It recognises that fisheries management is a dynamic system which requires flexibility in management decision making. The Bill provides a sound base for the conservation, enhancement and management of fisheries, and enables the Governor to make regulations to provide for schemes of management for particular fisheries. There are a number of features of the Bill worth highlighting.</w:t>
      </w:r>
    </w:p>
    <w:p w:rsidR="00274C13" w:rsidRDefault="00274C13" w:rsidP="00274C13">
      <w:pPr>
        <w:pStyle w:val="BodyText"/>
        <w:shd w:val="clear" w:color="auto" w:fill="auto"/>
        <w:spacing w:line="276" w:lineRule="auto"/>
        <w:ind w:right="20"/>
        <w:jc w:val="left"/>
        <w:rPr>
          <w:rFonts w:ascii="Arial" w:hAnsi="Arial" w:cs="Arial"/>
          <w:sz w:val="24"/>
          <w:szCs w:val="24"/>
          <w:lang w:val="en-AU" w:eastAsia="en-US"/>
        </w:rPr>
      </w:pPr>
    </w:p>
    <w:p w:rsidR="00B10BEA" w:rsidRPr="000A74DD" w:rsidRDefault="00B10BEA" w:rsidP="00274C13">
      <w:pPr>
        <w:pStyle w:val="BodyText"/>
        <w:shd w:val="clear" w:color="auto" w:fill="auto"/>
        <w:spacing w:line="276" w:lineRule="auto"/>
        <w:ind w:right="20"/>
        <w:jc w:val="left"/>
        <w:rPr>
          <w:rFonts w:ascii="Arial" w:hAnsi="Arial" w:cs="Arial"/>
          <w:sz w:val="24"/>
          <w:szCs w:val="24"/>
          <w:lang w:val="en-AU"/>
        </w:rPr>
      </w:pPr>
      <w:r w:rsidRPr="000A74DD">
        <w:rPr>
          <w:rFonts w:ascii="Arial" w:hAnsi="Arial" w:cs="Arial"/>
          <w:sz w:val="24"/>
          <w:szCs w:val="24"/>
          <w:lang w:val="en-AU" w:eastAsia="en-US"/>
        </w:rPr>
        <w:t>First, Part 2 of the Bill relating to Commonwealth/State arrangements enables the following management regimes to apply beyond the limits of internal waters:</w:t>
      </w:r>
    </w:p>
    <w:p w:rsidR="00B10BEA" w:rsidRPr="000A74DD" w:rsidRDefault="00B10BEA" w:rsidP="00274C13">
      <w:pPr>
        <w:pStyle w:val="BodyText"/>
        <w:numPr>
          <w:ilvl w:val="0"/>
          <w:numId w:val="3"/>
        </w:numPr>
        <w:shd w:val="clear" w:color="auto" w:fill="auto"/>
        <w:tabs>
          <w:tab w:val="left" w:pos="623"/>
        </w:tabs>
        <w:spacing w:line="276" w:lineRule="auto"/>
        <w:ind w:left="936" w:right="-144"/>
        <w:jc w:val="left"/>
        <w:rPr>
          <w:rFonts w:ascii="Arial" w:hAnsi="Arial" w:cs="Arial"/>
          <w:sz w:val="24"/>
          <w:szCs w:val="24"/>
          <w:lang w:val="en-AU"/>
        </w:rPr>
      </w:pPr>
      <w:r w:rsidRPr="000A74DD">
        <w:rPr>
          <w:rFonts w:ascii="Arial" w:hAnsi="Arial" w:cs="Arial"/>
          <w:sz w:val="24"/>
          <w:szCs w:val="24"/>
          <w:lang w:val="en-AU" w:eastAsia="en-US"/>
        </w:rPr>
        <w:t>Management of specified fisheries by joint authorities either under—</w:t>
      </w:r>
    </w:p>
    <w:p w:rsidR="00B10BEA" w:rsidRPr="00274C13" w:rsidRDefault="00B10BEA" w:rsidP="00274C13">
      <w:pPr>
        <w:pStyle w:val="BodyText"/>
        <w:numPr>
          <w:ilvl w:val="1"/>
          <w:numId w:val="1"/>
        </w:numPr>
        <w:shd w:val="clear" w:color="auto" w:fill="auto"/>
        <w:tabs>
          <w:tab w:val="left" w:pos="895"/>
        </w:tabs>
        <w:spacing w:line="276" w:lineRule="auto"/>
        <w:ind w:left="1008"/>
        <w:jc w:val="left"/>
        <w:rPr>
          <w:rFonts w:ascii="Arial" w:hAnsi="Arial" w:cs="Arial"/>
          <w:sz w:val="24"/>
          <w:szCs w:val="24"/>
          <w:lang w:val="en-AU"/>
        </w:rPr>
      </w:pPr>
      <w:r w:rsidRPr="00274C13">
        <w:rPr>
          <w:rFonts w:ascii="Arial" w:hAnsi="Arial" w:cs="Arial"/>
          <w:sz w:val="24"/>
          <w:szCs w:val="24"/>
          <w:lang w:val="en-AU" w:eastAsia="en-US"/>
        </w:rPr>
        <w:t>Commonwealth law applying from the low watermark where two or more States are involved or</w:t>
      </w:r>
    </w:p>
    <w:p w:rsidR="00B10BEA" w:rsidRPr="00274C13" w:rsidRDefault="00B10BEA" w:rsidP="00E042F9">
      <w:pPr>
        <w:pStyle w:val="BodyText"/>
        <w:numPr>
          <w:ilvl w:val="1"/>
          <w:numId w:val="1"/>
        </w:numPr>
        <w:shd w:val="clear" w:color="auto" w:fill="auto"/>
        <w:tabs>
          <w:tab w:val="left" w:pos="888"/>
        </w:tabs>
        <w:spacing w:line="276" w:lineRule="auto"/>
        <w:ind w:left="1120" w:right="20"/>
        <w:jc w:val="left"/>
        <w:rPr>
          <w:rFonts w:ascii="Arial" w:hAnsi="Arial" w:cs="Arial"/>
          <w:sz w:val="24"/>
          <w:szCs w:val="24"/>
          <w:lang w:val="en-AU"/>
        </w:rPr>
      </w:pPr>
      <w:r w:rsidRPr="00274C13">
        <w:rPr>
          <w:rFonts w:ascii="Arial" w:hAnsi="Arial" w:cs="Arial"/>
          <w:sz w:val="24"/>
          <w:szCs w:val="24"/>
          <w:lang w:val="en-AU" w:eastAsia="en-US"/>
        </w:rPr>
        <w:t>Commonwealth or State law applying from thelow water mark where only one State is involved;</w:t>
      </w:r>
    </w:p>
    <w:p w:rsidR="00B10BEA" w:rsidRPr="000A74DD" w:rsidRDefault="00B10BEA" w:rsidP="00274C13">
      <w:pPr>
        <w:pStyle w:val="BodyText"/>
        <w:numPr>
          <w:ilvl w:val="0"/>
          <w:numId w:val="3"/>
        </w:numPr>
        <w:shd w:val="clear" w:color="auto" w:fill="auto"/>
        <w:tabs>
          <w:tab w:val="left" w:pos="630"/>
        </w:tabs>
        <w:spacing w:line="276" w:lineRule="auto"/>
        <w:ind w:left="936" w:right="-144"/>
        <w:jc w:val="left"/>
        <w:rPr>
          <w:rFonts w:ascii="Arial" w:hAnsi="Arial" w:cs="Arial"/>
          <w:sz w:val="24"/>
          <w:szCs w:val="24"/>
          <w:lang w:val="en-AU"/>
        </w:rPr>
      </w:pPr>
      <w:r w:rsidRPr="000A74DD">
        <w:rPr>
          <w:rFonts w:ascii="Arial" w:hAnsi="Arial" w:cs="Arial"/>
          <w:sz w:val="24"/>
          <w:szCs w:val="24"/>
          <w:lang w:val="en-AU" w:eastAsia="en-US"/>
        </w:rPr>
        <w:lastRenderedPageBreak/>
        <w:t>Arrangements whereby either the Commonwealth or a State may manage a fishery under either Commonwealth or State law, that law applying from the low water mark; and</w:t>
      </w:r>
    </w:p>
    <w:p w:rsidR="00B10BEA" w:rsidRDefault="00B10BEA" w:rsidP="00274C13">
      <w:pPr>
        <w:pStyle w:val="BodyText"/>
        <w:numPr>
          <w:ilvl w:val="0"/>
          <w:numId w:val="3"/>
        </w:numPr>
        <w:shd w:val="clear" w:color="auto" w:fill="auto"/>
        <w:tabs>
          <w:tab w:val="left" w:pos="638"/>
        </w:tabs>
        <w:spacing w:line="276" w:lineRule="auto"/>
        <w:ind w:left="936" w:right="-144"/>
        <w:jc w:val="left"/>
        <w:rPr>
          <w:rFonts w:ascii="Arial" w:hAnsi="Arial" w:cs="Arial"/>
          <w:sz w:val="24"/>
          <w:szCs w:val="24"/>
          <w:lang w:val="en-AU"/>
        </w:rPr>
      </w:pPr>
      <w:r w:rsidRPr="000A74DD">
        <w:rPr>
          <w:rFonts w:ascii="Arial" w:hAnsi="Arial" w:cs="Arial"/>
          <w:sz w:val="24"/>
          <w:szCs w:val="24"/>
          <w:lang w:val="en-AU" w:eastAsia="en-US"/>
        </w:rPr>
        <w:t>Continuation of the</w:t>
      </w:r>
      <w:r w:rsidRPr="000A74DD">
        <w:rPr>
          <w:rStyle w:val="BodytextItalic"/>
          <w:rFonts w:ascii="Arial" w:hAnsi="Arial" w:cs="Arial"/>
          <w:sz w:val="24"/>
          <w:szCs w:val="24"/>
          <w:lang w:val="en-AU" w:eastAsia="en-US"/>
        </w:rPr>
        <w:t xml:space="preserve"> status quo,</w:t>
      </w:r>
      <w:r w:rsidRPr="000A74DD">
        <w:rPr>
          <w:rFonts w:ascii="Arial" w:hAnsi="Arial" w:cs="Arial"/>
          <w:sz w:val="24"/>
          <w:szCs w:val="24"/>
          <w:lang w:val="en-AU" w:eastAsia="en-US"/>
        </w:rPr>
        <w:t xml:space="preserve"> that is, State law applying within the three nautical miles and Commonwealth law beyond that distance where no arrangement has been entered into in relation to management of a particular fishery. It is envisaged that this provision would rarely be used especially in the longer term.</w:t>
      </w:r>
    </w:p>
    <w:p w:rsidR="00274C13" w:rsidRPr="000A74DD" w:rsidRDefault="00274C13" w:rsidP="00306DCD">
      <w:pPr>
        <w:pStyle w:val="BodyText"/>
        <w:shd w:val="clear" w:color="auto" w:fill="auto"/>
        <w:tabs>
          <w:tab w:val="left" w:pos="638"/>
        </w:tabs>
        <w:spacing w:line="276" w:lineRule="auto"/>
        <w:ind w:right="-144"/>
        <w:jc w:val="left"/>
        <w:rPr>
          <w:rFonts w:ascii="Arial" w:hAnsi="Arial" w:cs="Arial"/>
          <w:sz w:val="24"/>
          <w:szCs w:val="24"/>
          <w:lang w:val="en-AU"/>
        </w:rPr>
      </w:pPr>
    </w:p>
    <w:p w:rsidR="00B10BEA" w:rsidRDefault="00B10BEA" w:rsidP="00E042F9">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This legislation is part of a national agreement. Identical provisions have received Royal assent in Victoria, Western Australia and the Northern Territory. A Bill has passed both Houses in Tasmania. A Bill lapsed in New South Wales when Parliament was prorogued, but will be reintroduced. A Bill has been introduced into the Queensland Parliament.</w:t>
      </w:r>
    </w:p>
    <w:p w:rsidR="00306DCD" w:rsidRPr="000A74DD" w:rsidRDefault="00306DCD" w:rsidP="00E042F9">
      <w:pPr>
        <w:pStyle w:val="BodyText"/>
        <w:shd w:val="clear" w:color="auto" w:fill="auto"/>
        <w:spacing w:line="276" w:lineRule="auto"/>
        <w:ind w:left="40" w:right="20"/>
        <w:jc w:val="left"/>
        <w:rPr>
          <w:rFonts w:ascii="Arial" w:hAnsi="Arial" w:cs="Arial"/>
          <w:sz w:val="24"/>
          <w:szCs w:val="24"/>
          <w:lang w:val="en-AU"/>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Fisheries inspectors have been retitled fisheries officers, consistent with the changing functions of this group. Fisheries officers' duties now include various extension and liaison functions, in addition to their important enforcement role. The powers of fisheries officers reflect the importance of their role in ensuring that the Government's policies relating to the management and development of the fishing industry in South Australia are adequately enforced.</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The provisions relating to seizure will mean that things seized shall be held by the Crown pending proceedings for an offence against the Act relating to the thing seized. There is provision for the Minister to authorise release of the thing seized upon application. In addition, there is provision for an appeal against the Minister's decision not to release a thing seized. In the context of the Bill, a thing includes a boat, equipment, gear, devices, and fish. Compensation is also payable where a thing has been seized, and the offence not proven. The Bill provides for revised provisions to enable the Minister to carry out any research, exploration, experiments, works or operations of any kind and continues the fund known as the Fisheries Research and Development Fund.</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The Bill provides for more realistic penalty provisions in keeping with the limited entry management policies which apply in South Australia's fisheries. Support for substantially increased monetary penalties has come from both AFIC and SARFAC who also strongly support the suspension or cancellation of a licence, registration or permit upon conviction for a serious offence or a second offence, together with seizure and forfeiture of gear used and fish taken. The Government supports the industry's view that it is an essential requirement of fisheries management to have the necessary authority to deal fairly and firmly with those transgressors who, while holding a privileged access right to a common property resource, have abused that privilege. The Bill fulfils the Government's promise of more effective penalties, including the application of penalties to the fishery licence.</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lastRenderedPageBreak/>
        <w:t>Extensive consultation with AFIC and SARFAC regarding the desirability of offences being strengthened and more precisely described in the Act has contributed to the relevant provisions in the Bill. Careful consideration has been given to the impact and effectiveness of each penalty, and an appropriate mixture of penalties is set out in the Bill.</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The Bill provides for the Governor to make regulations prescribing schemes of management for particular fisheries. Amongst other things, a prescribed scheme of management may contain matters relating to licensing, fees, and registration of devices. There will be scope for variation of policy between fisheries. However, there will be uniform requirements on each licence within a fishery. The Bill provides wider powers to make regulations—making it easier to give legal effect to a policy for each fishery (for example, transferability and vessel replacement). It is more flexible to do this than to write specific provisions into the Act. The actual policies will be contained in the schemes of management, which will describe each fishery.</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Commercial licences will be issued only under a scheme of managemen</w:t>
      </w:r>
      <w:r w:rsidR="00BC0401" w:rsidRPr="000A74DD">
        <w:rPr>
          <w:rFonts w:ascii="Arial" w:hAnsi="Arial" w:cs="Arial"/>
          <w:sz w:val="24"/>
          <w:szCs w:val="24"/>
          <w:lang w:val="en-AU" w:eastAsia="en-US"/>
        </w:rPr>
        <w:t>t. There will not be a general '</w:t>
      </w:r>
      <w:r w:rsidRPr="000A74DD">
        <w:rPr>
          <w:rFonts w:ascii="Arial" w:hAnsi="Arial" w:cs="Arial"/>
          <w:sz w:val="24"/>
          <w:szCs w:val="24"/>
          <w:lang w:val="en-AU" w:eastAsia="en-US"/>
        </w:rPr>
        <w:t>class A' (or 'B') licence, or separate autho</w:t>
      </w:r>
      <w:r w:rsidR="00BC0401" w:rsidRPr="000A74DD">
        <w:rPr>
          <w:rFonts w:ascii="Arial" w:hAnsi="Arial" w:cs="Arial"/>
          <w:sz w:val="24"/>
          <w:szCs w:val="24"/>
          <w:lang w:val="en-AU" w:eastAsia="en-US"/>
        </w:rPr>
        <w:t>rities. These will be covered by</w:t>
      </w:r>
      <w:r w:rsidRPr="000A74DD">
        <w:rPr>
          <w:rFonts w:ascii="Arial" w:hAnsi="Arial" w:cs="Arial"/>
          <w:sz w:val="24"/>
          <w:szCs w:val="24"/>
          <w:lang w:val="en-AU" w:eastAsia="en-US"/>
        </w:rPr>
        <w:t xml:space="preserve"> 'fishery licences' (for example, the marine scale fishery or the prawn fishery) which will define the species, zone, gear, boat size, etc. All licences will show the species to be taken commercially. There will no longer be a licence to employ. If the holder of the 'fishery licence' is not required to be on board the boat, and the registered master of the boat commits an offence, the master will carry a personal penalty, and the fishery licence will be subject to suspension upon conviction for a second offence.</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In respect of fishing (that is, as opposed to processing, etc.) the central concept is one of a 'fishing activity' and 'engaging in a fishing activity'. The crux of the licensing system will be the fishery licence with endorsements thereon of the registered boat and the master of the boat. The schemes of management will be contained in the regulations, setting out the matters relating to the granting of licences and registrations in respect of each fishery. Some flexibility is provided in the proposals, enabling a new or developing fishery to have a scheme of management prescribed at an appropriate time, and relevant fishery licences thereby created.</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 xml:space="preserve">This Bill maintains existing provisions for protection of the aquatic habitat, along with updated provisions for aquarium fish, exotic species, and fish farming operations. With the growth of an aquarium fish industry, aquaculture and the stocking of waters with fish, legislative powers are required to make regulations for these operations. The new provisions will enable the application of national complementary arrangements to control exotic fish and fish diseases, particularly as they relate to fish farming. New provisions give wider powers to control fish farming and related activities, where necessary. Farm dams on private property will not be subject to the provisions in the Bill, except in the </w:t>
      </w:r>
      <w:r w:rsidRPr="000A74DD">
        <w:rPr>
          <w:rFonts w:ascii="Arial" w:hAnsi="Arial" w:cs="Arial"/>
          <w:sz w:val="24"/>
          <w:szCs w:val="24"/>
          <w:lang w:val="en-AU" w:eastAsia="en-US"/>
        </w:rPr>
        <w:lastRenderedPageBreak/>
        <w:t>case of fish farming, fish disease outbreak, or prohibited species. The Bill empowers the Governor to make regulations declaring fish of a specified class to be exotic fish, and it regulates the introduction into the State, the possession, control, sale, purchase, consigning, deli</w:t>
      </w:r>
      <w:r w:rsidR="001814A1" w:rsidRPr="000A74DD">
        <w:rPr>
          <w:rFonts w:ascii="Arial" w:hAnsi="Arial" w:cs="Arial"/>
          <w:sz w:val="24"/>
          <w:szCs w:val="24"/>
          <w:lang w:val="en-AU" w:eastAsia="en-US"/>
        </w:rPr>
        <w:t>very and transport of such fish.</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rPr>
      </w:pPr>
      <w:r w:rsidRPr="000A74DD">
        <w:rPr>
          <w:rFonts w:ascii="Arial" w:hAnsi="Arial" w:cs="Arial"/>
          <w:sz w:val="24"/>
          <w:szCs w:val="24"/>
          <w:lang w:val="en-AU" w:eastAsia="en-US"/>
        </w:rPr>
        <w:t>Particular attention is paid to the prevention, elimination or control of disease in farm fish and the prevention of the escape of farm fish into other waters, or the release of the water in which the fish are farmed. A person keeping fish or operating a fish farm will be required by regulation to notify the director of the occurrence of disease or symptoms of disease in fish kept or farmed by that person. Measures to be taken for the recovery, eradication or containment of exotic fish or farm fish that have been released or have escaped into any waters will also be prescribed.</w:t>
      </w:r>
    </w:p>
    <w:p w:rsidR="00306DCD" w:rsidRDefault="00306DCD" w:rsidP="00306DCD">
      <w:pPr>
        <w:pStyle w:val="BodyText"/>
        <w:shd w:val="clear" w:color="auto" w:fill="auto"/>
        <w:spacing w:line="276" w:lineRule="auto"/>
        <w:ind w:left="40" w:right="20"/>
        <w:jc w:val="left"/>
        <w:rPr>
          <w:rFonts w:ascii="Arial" w:hAnsi="Arial" w:cs="Arial"/>
          <w:sz w:val="24"/>
          <w:szCs w:val="24"/>
          <w:lang w:val="en-AU"/>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 xml:space="preserve">The Bill gives effect to most of the recommendations of the review committee </w:t>
      </w:r>
      <w:r w:rsidR="001814A1" w:rsidRPr="000A74DD">
        <w:rPr>
          <w:rFonts w:ascii="Arial" w:hAnsi="Arial" w:cs="Arial"/>
          <w:sz w:val="24"/>
          <w:szCs w:val="24"/>
          <w:lang w:val="en-AU" w:eastAsia="en-US"/>
        </w:rPr>
        <w:t>on processing</w:t>
      </w:r>
      <w:r w:rsidRPr="000A74DD">
        <w:rPr>
          <w:rFonts w:ascii="Arial" w:hAnsi="Arial" w:cs="Arial"/>
          <w:sz w:val="24"/>
          <w:szCs w:val="24"/>
          <w:lang w:val="en-AU" w:eastAsia="en-US"/>
        </w:rPr>
        <w:t xml:space="preserve"> and marketing of fish established by the previous Government. It abolishes the category of fish dealer and establishes a broad category of fish processor for registration purposes. There are no provisions for intervening in normal market arrangements. The review committee on processing and marketing of fish completed its final report in </w:t>
      </w:r>
      <w:r w:rsidR="001814A1" w:rsidRPr="000A74DD">
        <w:rPr>
          <w:rFonts w:ascii="Arial" w:hAnsi="Arial" w:cs="Arial"/>
          <w:sz w:val="24"/>
          <w:szCs w:val="24"/>
          <w:lang w:val="en-AU" w:eastAsia="en-US"/>
        </w:rPr>
        <w:t>August 1980. Whilst further dis</w:t>
      </w:r>
      <w:r w:rsidRPr="000A74DD">
        <w:rPr>
          <w:rFonts w:ascii="Arial" w:hAnsi="Arial" w:cs="Arial"/>
          <w:sz w:val="24"/>
          <w:szCs w:val="24"/>
          <w:lang w:val="en-AU" w:eastAsia="en-US"/>
        </w:rPr>
        <w:t xml:space="preserve">cussion still needs to take place on the matter of processors holding licences in managed fisheries, the committee's recommendations were accepted by the Wholesale Fish Merchants' Association (representing major processors), the South </w:t>
      </w:r>
      <w:r w:rsidR="001814A1" w:rsidRPr="000A74DD">
        <w:rPr>
          <w:rFonts w:ascii="Arial" w:hAnsi="Arial" w:cs="Arial"/>
          <w:sz w:val="24"/>
          <w:szCs w:val="24"/>
          <w:lang w:val="en-AU" w:eastAsia="en-US"/>
        </w:rPr>
        <w:t>Australian Fish Shop Retailers'</w:t>
      </w:r>
      <w:r w:rsidRPr="000A74DD">
        <w:rPr>
          <w:rFonts w:ascii="Arial" w:hAnsi="Arial" w:cs="Arial"/>
          <w:sz w:val="24"/>
          <w:szCs w:val="24"/>
          <w:lang w:val="en-AU" w:eastAsia="en-US"/>
        </w:rPr>
        <w:t xml:space="preserve"> Association (representing fish and chip shops, etc.) and AFIC (representing the commercial fishing industry).</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The Bill provides for a person acting as a fish processor to be registered and all premises, place or boat he uses to be specified in the certificate of registration. Power is provided for the Governor to make regulations for the regulation of fish processing and matters ancillary or incidental to, or connected with fish processing; these provisions generally accord with the recommendations of the review committee. Under the provisions of this Bill a professional fisherman will not be required to hold a certificate of registration as a fish processor in order to sell unprocessed fish he has taken under his fishery licence.</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 xml:space="preserve">The regulation powers provide for fish processors to furnish returns setting out information relating to the sale, purchase, processing, storage and movement of fish. Regulations dealing with receptacles, labelling and fees are also proposed. In addition to more realistic monetary penalties, new provisions empower the court to suspend or cancel a licence for certain specified serious offences. There is provision for the Minister to suspend or cancel licences in circumstances where an authority was obtained improperly or where a person has been convicted of an offence against any other Act relating to fishing or involving violent or threatening behaviour. The Bill provides for </w:t>
      </w:r>
      <w:r w:rsidRPr="000A74DD">
        <w:rPr>
          <w:rFonts w:ascii="Arial" w:hAnsi="Arial" w:cs="Arial"/>
          <w:sz w:val="24"/>
          <w:szCs w:val="24"/>
          <w:lang w:val="en-AU" w:eastAsia="en-US"/>
        </w:rPr>
        <w:lastRenderedPageBreak/>
        <w:t>appeals before a local court. Appeals regarding fishery licences will be confined to the provisions of the scheme of management for the particular fishery. Under miscellaneous provisions, the Minister will be empowered to exempt a person, or class of persons, by notice published in the</w:t>
      </w:r>
      <w:r w:rsidRPr="000A74DD">
        <w:rPr>
          <w:rStyle w:val="BodytextItalic4"/>
          <w:rFonts w:ascii="Arial" w:hAnsi="Arial" w:cs="Arial"/>
          <w:sz w:val="24"/>
          <w:szCs w:val="24"/>
          <w:lang w:val="en-AU" w:eastAsia="en-US"/>
        </w:rPr>
        <w:t xml:space="preserve"> Gazette,</w:t>
      </w:r>
      <w:r w:rsidRPr="000A74DD">
        <w:rPr>
          <w:rFonts w:ascii="Arial" w:hAnsi="Arial" w:cs="Arial"/>
          <w:sz w:val="24"/>
          <w:szCs w:val="24"/>
          <w:lang w:val="en-AU" w:eastAsia="en-US"/>
        </w:rPr>
        <w:t xml:space="preserve"> from any specified provisions of the Act.</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306DCD" w:rsidRDefault="00B10BEA" w:rsidP="00306DCD">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 xml:space="preserve">A new provision will require the Director to keep a register of licences and registrations available for public inspection, together with the tabling of an annual report on the operation of the Act. The Bill provides that, where a person is convicted of an offence against the Act involving the taking of fish, the person convicted shall be liable, in addition to any other penalty prescribed by this Act, to a penalty equal to: </w:t>
      </w:r>
      <w:r w:rsidRPr="00306DCD">
        <w:rPr>
          <w:rFonts w:ascii="Arial" w:hAnsi="Arial" w:cs="Arial"/>
          <w:i/>
          <w:iCs/>
          <w:sz w:val="24"/>
          <w:szCs w:val="24"/>
          <w:lang w:val="en-AU" w:eastAsia="en-US"/>
        </w:rPr>
        <w:t>(a)</w:t>
      </w:r>
      <w:r w:rsidRPr="000A74DD">
        <w:rPr>
          <w:rFonts w:ascii="Arial" w:hAnsi="Arial" w:cs="Arial"/>
          <w:sz w:val="24"/>
          <w:szCs w:val="24"/>
          <w:lang w:val="en-AU" w:eastAsia="en-US"/>
        </w:rPr>
        <w:t xml:space="preserve"> five times the amount determined by the convicting court to be the wholesale value of the fish at the time at which they were taken; or</w:t>
      </w:r>
      <w:r w:rsidRPr="000A74DD">
        <w:rPr>
          <w:rStyle w:val="BodytextItalic3"/>
          <w:rFonts w:ascii="Arial" w:hAnsi="Arial" w:cs="Arial"/>
          <w:sz w:val="24"/>
          <w:szCs w:val="24"/>
          <w:lang w:val="en-AU" w:eastAsia="en-US"/>
        </w:rPr>
        <w:t xml:space="preserve"> (b)</w:t>
      </w:r>
      <w:r w:rsidRPr="000A74DD">
        <w:rPr>
          <w:rFonts w:ascii="Arial" w:hAnsi="Arial" w:cs="Arial"/>
          <w:sz w:val="24"/>
          <w:szCs w:val="24"/>
          <w:lang w:val="en-AU" w:eastAsia="en-US"/>
        </w:rPr>
        <w:t xml:space="preserve"> $10 000, whichever is the lesser amount.</w:t>
      </w:r>
    </w:p>
    <w:p w:rsidR="00306DCD" w:rsidRDefault="00306DCD" w:rsidP="00306DCD">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New provisions establish vicarious responsibility where the licence holder—either a nat</w:t>
      </w:r>
      <w:r w:rsidR="001814A1" w:rsidRPr="000A74DD">
        <w:rPr>
          <w:rFonts w:ascii="Arial" w:hAnsi="Arial" w:cs="Arial"/>
          <w:sz w:val="24"/>
          <w:szCs w:val="24"/>
          <w:lang w:val="en-AU" w:eastAsia="en-US"/>
        </w:rPr>
        <w:t>ural person or body corporate—</w:t>
      </w:r>
      <w:r w:rsidRPr="000A74DD">
        <w:rPr>
          <w:rFonts w:ascii="Arial" w:hAnsi="Arial" w:cs="Arial"/>
          <w:sz w:val="24"/>
          <w:szCs w:val="24"/>
          <w:lang w:val="en-AU" w:eastAsia="en-US"/>
        </w:rPr>
        <w:t>is not directly involved in fishing operations. Overall the Fisheries Bill provides a sound basis for the conservation and management of fisheries within State territorial limits (abalone, prawn, marine scale, rock lobster) as well as through the joint authority provisions for the offshore fisheries (tuna, shark). The incorporation of provisions enabling the Governor to make regulations to provide for schemes of management for particular fisheries is a positive step forward, and will enable a flexible approach to be taken to the problems of fisheries management in the foreseeable future. I commend the Bill to the Council.</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Clause 1 is formal. Clause 2 provides for the commencement of the measure. Under the clause different provisions may be brought into operation at different times. Clause 3 sets out the arrangement of the measure. Clause 4 provides for the repeal of the Fibre and Sponges Act, 1909-1973, and the Fisheries Act, 1971-1980.</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 xml:space="preserve">Clause 5 sets out definitions of terms used in the measure, Attention is drawn to the definition of 'fishing activity' which is defined as the act of taking fish or any act preparatory to, or involved in, taking fish. 'Fishery' is defined under the clause as being a class of fishing activities declared by regulation to constitute a fishery. Under subclause (2), a class of fishing activities may be defined by regulation or other statutory instrument by reference to one or more factors such as the species of the fish, the sex, size or weight of the fish, a number or quantity of fish, a period of time, an area of waters or a place, etc. Under subclause (3), a person is to be regarded as engaging in a fishing activity of a defined class if he does the act that falls within the class as defined, or if he does any of certain preliminary acts, such as using a device for the purpose of the activity, or using a boat for that purpose, or being in charge of, or acting as a member of the crew, of a boat being used for the purpose, or diving for the purpose. Subclause (6) defines the waters to which the measure is to apply, these being: </w:t>
      </w:r>
      <w:r w:rsidRPr="000A74DD">
        <w:rPr>
          <w:rStyle w:val="BodytextItalic3"/>
          <w:rFonts w:ascii="Arial" w:hAnsi="Arial" w:cs="Arial"/>
          <w:sz w:val="24"/>
          <w:szCs w:val="24"/>
          <w:lang w:val="en-AU" w:eastAsia="en-US"/>
        </w:rPr>
        <w:t>(a)</w:t>
      </w:r>
      <w:r w:rsidRPr="000A74DD">
        <w:rPr>
          <w:rFonts w:ascii="Arial" w:hAnsi="Arial" w:cs="Arial"/>
          <w:sz w:val="24"/>
          <w:szCs w:val="24"/>
          <w:lang w:val="en-AU" w:eastAsia="en-US"/>
        </w:rPr>
        <w:t xml:space="preserve"> the waters within the limits of the State;</w:t>
      </w:r>
      <w:r w:rsidRPr="000A74DD">
        <w:rPr>
          <w:rStyle w:val="BodytextItalic3"/>
          <w:rFonts w:ascii="Arial" w:hAnsi="Arial" w:cs="Arial"/>
          <w:sz w:val="24"/>
          <w:szCs w:val="24"/>
          <w:lang w:val="en-AU" w:eastAsia="en-US"/>
        </w:rPr>
        <w:t xml:space="preserve"> (b)</w:t>
      </w:r>
      <w:r w:rsidRPr="000A74DD">
        <w:rPr>
          <w:rFonts w:ascii="Arial" w:hAnsi="Arial" w:cs="Arial"/>
          <w:sz w:val="24"/>
          <w:szCs w:val="24"/>
          <w:lang w:val="en-AU" w:eastAsia="en-US"/>
        </w:rPr>
        <w:t xml:space="preserve"> except for purposes relating to a fishery to be managed under Commonwealth law, </w:t>
      </w:r>
      <w:r w:rsidRPr="000A74DD">
        <w:rPr>
          <w:rFonts w:ascii="Arial" w:hAnsi="Arial" w:cs="Arial"/>
          <w:sz w:val="24"/>
          <w:szCs w:val="24"/>
          <w:lang w:val="en-AU" w:eastAsia="en-US"/>
        </w:rPr>
        <w:lastRenderedPageBreak/>
        <w:t>waters that are landward of the Commonwealth proclaimed waters adjacent to the State;</w:t>
      </w:r>
      <w:r w:rsidRPr="000A74DD">
        <w:rPr>
          <w:rStyle w:val="BodytextItalic3"/>
          <w:rFonts w:ascii="Arial" w:hAnsi="Arial" w:cs="Arial"/>
          <w:sz w:val="24"/>
          <w:szCs w:val="24"/>
          <w:lang w:val="en-AU" w:eastAsia="en-US"/>
        </w:rPr>
        <w:t xml:space="preserve"> (c)</w:t>
      </w:r>
      <w:r w:rsidRPr="000A74DD">
        <w:rPr>
          <w:rFonts w:ascii="Arial" w:hAnsi="Arial" w:cs="Arial"/>
          <w:sz w:val="24"/>
          <w:szCs w:val="24"/>
          <w:lang w:val="en-AU" w:eastAsia="en-US"/>
        </w:rPr>
        <w:t xml:space="preserve"> for purposes relating to a fishery to be managed under State law, any waters to which the legislative powers of the State extend with respect to that fishery; and </w:t>
      </w:r>
      <w:r w:rsidRPr="000A74DD">
        <w:rPr>
          <w:rFonts w:ascii="Arial" w:hAnsi="Arial" w:cs="Arial"/>
          <w:i/>
          <w:sz w:val="24"/>
          <w:szCs w:val="24"/>
          <w:lang w:val="en-AU" w:eastAsia="en-US"/>
        </w:rPr>
        <w:t>(d)</w:t>
      </w:r>
      <w:r w:rsidRPr="000A74DD">
        <w:rPr>
          <w:rFonts w:ascii="Arial" w:hAnsi="Arial" w:cs="Arial"/>
          <w:sz w:val="24"/>
          <w:szCs w:val="24"/>
          <w:lang w:val="en-AU" w:eastAsia="en-US"/>
        </w:rPr>
        <w:t xml:space="preserve"> for purposes relating to recreational fishing not involving foreign boats, waters to which the legislative powers of the State extend with respect to those activities.</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Part II of the measure, comprising clauses 6 to 19, provides for Commonwealth-State arrangements with respect to the management of fisheries. Clause 6 sets out definitions of terms used in Part II. Attention is drawn to the definition of 'fishery' which is defined in terms of a class of fishing activities identified in an arrangement made under Part II by the State with the Commonwealth or with the Commonwealth and one or more other States. Attention is also drawn to the definition of 'Joint Authority' which is defined to mean the South Eastern Joint Authority (comprising the Commonwealth, New South Wales, Victorian, South Australian and Tasmanian Ministers responsible for fisheries) established under the Commonwealth Fisheries Act and any other Joint Authority subsequently established under that Act of which the Minister is a member.</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Clause 7 provides that the Minister may exercise a power conferred on the Minister by Part IVA of the Commonwealth</w:t>
      </w:r>
      <w:r w:rsidR="00CD788D">
        <w:rPr>
          <w:rFonts w:ascii="Arial" w:hAnsi="Arial" w:cs="Arial"/>
          <w:sz w:val="24"/>
          <w:szCs w:val="24"/>
          <w:lang w:val="en-AU" w:eastAsia="en-US"/>
        </w:rPr>
        <w:t xml:space="preserve"> </w:t>
      </w:r>
      <w:r w:rsidRPr="000A74DD">
        <w:rPr>
          <w:rFonts w:ascii="Arial" w:hAnsi="Arial" w:cs="Arial"/>
          <w:sz w:val="24"/>
          <w:szCs w:val="24"/>
          <w:lang w:val="en-AU" w:eastAsia="en-US"/>
        </w:rPr>
        <w:t>Act. Clause 8 requires judicial notice to be taken of the signatures of members of a Joint Authority or their deputies and of their offices as such. Clause 9 provides that a Joint Authority has such functions in relation to a fishery in respect of which an arrangement is in force under Division III as are conferred on it by law (that is, either Commonwealth law or, as the case may be, South Australian law) in accordance with which pursuant to the arrangement, the fishery is to be managed. Clause 10 provides for the delegation by a Joint Authority or any of its powers.</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Clause 11 provides for the procedure of a Joint Authority. Clause 12 requires the Minister to table in Parliament a copy of the annual report of a joint Authority. Clause 13 provides that the State may enter into an arrangement for the management of a fishery. The clause also provides for the termination of an arrangement and the preliminary action required to bring into effect or terminate an arrangement. Clause 14 provides for the application of South Australian law in relation to fisheries which are under an arrangement to be regulated by South Australian law.</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Clause 15 sets out the functions of a Joint Authority (that is, one that is to manage a fishery in accordance with South Australi</w:t>
      </w:r>
      <w:r w:rsidR="00F45884" w:rsidRPr="000A74DD">
        <w:rPr>
          <w:rFonts w:ascii="Arial" w:hAnsi="Arial" w:cs="Arial"/>
          <w:sz w:val="24"/>
          <w:szCs w:val="24"/>
          <w:lang w:val="en-AU" w:eastAsia="en-US"/>
        </w:rPr>
        <w:t>an law) of managing the fishery,</w:t>
      </w:r>
      <w:r w:rsidRPr="000A74DD">
        <w:rPr>
          <w:rFonts w:ascii="Arial" w:hAnsi="Arial" w:cs="Arial"/>
          <w:sz w:val="24"/>
          <w:szCs w:val="24"/>
          <w:lang w:val="en-AU" w:eastAsia="en-US"/>
        </w:rPr>
        <w:t xml:space="preserve"> consulting with other authorities and exercising its statutory powers. Clause 16 provides for the application of the principal Act in relation to a fishery that is to be managed by a Joint Authority in accordance with the measure. Clause 17 applies references made to a licence or other authority in an offence under the principal Act to any such licence or other authority issued or renewed by a relevant Joint Authority. Clause 18 is an evidentiary provision facilitating proof of the waters to which an arrangement applies.</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Clause 19 provides for the making of regulations in relation to a fishery to be managed by a Joint Authority in accordance with the law of the State. Part III of the measure, comprising clauses 20 to 32, provides for administrative matters. Clause 20 provides that the Minister and the Director of Fisheries are, in the administration of the measure, to have the objectives of ensuring through proper conservation and management measures that the living resources of the waters to which the measure applies are not to be endangered or over-exploited and of achieving the optimum utilisation of those resources. Clause 21 provides for the incorporation of the Minister of Fisheries.</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Style w:val="BodytextItalic3"/>
          <w:rFonts w:ascii="Arial" w:hAnsi="Arial" w:cs="Arial"/>
          <w:sz w:val="24"/>
          <w:szCs w:val="24"/>
          <w:lang w:val="en-AU" w:eastAsia="en-US"/>
        </w:rPr>
      </w:pPr>
      <w:r w:rsidRPr="000A74DD">
        <w:rPr>
          <w:rFonts w:ascii="Arial" w:hAnsi="Arial" w:cs="Arial"/>
          <w:sz w:val="24"/>
          <w:szCs w:val="24"/>
          <w:lang w:val="en-AU" w:eastAsia="en-US"/>
        </w:rPr>
        <w:t xml:space="preserve">Clause 22 continues the office of Director of Fisheries. Clause 23 provides for delegation by the Minister or the Director of powers conferred upon the Minister or Director, respectively. Clause 24 requires the Director to prepare an annual report for the Minister on the administration of the measure and provides for the report to be tabled in Parliament. Clause 25 provides for the appointment by the Governor of fisheries officers. Under the clause, the Director of Fisheries and police officers are to be fisheries officers </w:t>
      </w:r>
      <w:r w:rsidRPr="000A74DD">
        <w:rPr>
          <w:rStyle w:val="BodytextItalic3"/>
          <w:rFonts w:ascii="Arial" w:hAnsi="Arial" w:cs="Arial"/>
          <w:sz w:val="24"/>
          <w:szCs w:val="24"/>
          <w:lang w:val="en-AU" w:eastAsia="en-US"/>
        </w:rPr>
        <w:t>ex officio.</w:t>
      </w:r>
    </w:p>
    <w:p w:rsidR="00745825" w:rsidRPr="00745825" w:rsidRDefault="00745825" w:rsidP="00745825">
      <w:pPr>
        <w:pStyle w:val="BodyText"/>
        <w:shd w:val="clear" w:color="auto" w:fill="auto"/>
        <w:spacing w:line="276" w:lineRule="auto"/>
        <w:ind w:left="40" w:right="20"/>
        <w:jc w:val="left"/>
        <w:rPr>
          <w:rStyle w:val="BodytextItalic3"/>
          <w:rFonts w:ascii="Arial" w:hAnsi="Arial" w:cs="Arial"/>
          <w:i w:val="0"/>
          <w:iCs w:val="0"/>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Clause 26 provides for identity cards to be issued to fisheries officers (not being police officers). Under the clause, a fisheries officer is required, if requested to do so, to produce his identity card before exercising any of his statutory powers. Clause 27 provides that it shall be an offence if a fisheries officer has, without the consent of the Minister, any financial interest in any business regulated under the measure. Clause 28 sets out appropriate powers for fisheries officers to enter, search, seize, ask questions, give directions, etc. Under subclause (2), the power to enter premises may only be exercised upon the authority of a warrant issued by a justice unless it is being exercised in relation to registered premises of a registered fish processor or in circumstances that the fisheries officer believes warrant urgent action. Subclause (6) empowers a fisheries officer to arrest a person without warrant in appropriately limited circumstances. Subclauses (9) and (10) provide in consid</w:t>
      </w:r>
      <w:r w:rsidRPr="000A74DD">
        <w:rPr>
          <w:rFonts w:ascii="Arial" w:hAnsi="Arial" w:cs="Arial"/>
          <w:sz w:val="24"/>
          <w:szCs w:val="24"/>
          <w:lang w:val="en-AU" w:eastAsia="en-US"/>
        </w:rPr>
        <w:softHyphen/>
        <w:t>erable detail for the seizure and for forfeiture of anything used in the commission of an offence against the measure.</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Clause 29 provides that it is to be an offence if a person falsely represents</w:t>
      </w:r>
      <w:r w:rsidR="00F45884" w:rsidRPr="000A74DD">
        <w:rPr>
          <w:rFonts w:ascii="Arial" w:hAnsi="Arial" w:cs="Arial"/>
          <w:sz w:val="24"/>
          <w:szCs w:val="24"/>
          <w:lang w:val="en-AU" w:eastAsia="en-US"/>
        </w:rPr>
        <w:t xml:space="preserve"> that he is a fisheries officer.</w:t>
      </w:r>
      <w:r w:rsidRPr="000A74DD">
        <w:rPr>
          <w:rFonts w:ascii="Arial" w:hAnsi="Arial" w:cs="Arial"/>
          <w:sz w:val="24"/>
          <w:szCs w:val="24"/>
          <w:lang w:val="en-AU" w:eastAsia="en-US"/>
        </w:rPr>
        <w:t xml:space="preserve"> Clause 30 protects fisheries officers from personal liability for acts done in good faith in the exercise or purported exercise of a power or duty under the measure. The liability in such cases is to lie against the Crown. Clause 31 authorises the Minister to carry on research and development for the benefit of the industries to which the measure applies. Clause 32 continues the Fisheries Research and Development Fund in existence. The clause sets out the moneys to be paid into the fund, principally the charges and fees to be paid under the measure, and authorises the moneys to be applied for research and development. Subclause (4) provides for investment of the fund.</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lastRenderedPageBreak/>
        <w:t>Part IV of the measure, comprising clauses 33 to 58, provides for the regulation of fishing and the other activities regulated under the measure. Division I of this Part, comprising clauses 33 to 46, provides for fisheries and fishing. Clause 33 sets out definitions of terms used in this Division. Clause 34 provides that it shall be an offence attracting a penalty of up to $5 000 if a person engages, for the purposes of trade or business, in a fishing activity of a class that constitutes a fishery unless he holds a licence in respect of that fishery, or is acting on behalf of a person who holds such a licence. Subclause (2) provides for the registration of each boat used in a fishery and the master of each such boat. The clause provides for the use of replacement boats and relief masters with the consent of the Director and subject to such conditions as he may impose.</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Clause 35 makes provision for applications for licences and registration. Clause 36 provides for the grant of a fishery licence to be determined by the Director subject to and in accordance with the provisions of the scheme of management prescribed for the particular fishery by regulations under clause 46. The clause requires the Director, before registering a boat, to be satisfied that the applicant is the holder of a fishery licence and as to such other matters as may be prescribed by the scheme of management for the fishery. The clause provides that application for registration of a master of a boat must be made by the holder of a fishery licence who has a registered boat and that the proposed master must be a fit and proper person to be master of the boat. Under subclause (2), the holder of a fishery licence is to be the only person who may be registered as the master of a boat used pursuant to that licence if the scheme of management for the particular fishery so provides. Registration of a boat or master of a boat is to be effected by endorsement of the related fishery licence.</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 xml:space="preserve">Clause 37 empowers the Director to impose conditions of fishery licences. Contravention of a condition is to be an offence attracting </w:t>
      </w:r>
      <w:r w:rsidR="00BE11EA" w:rsidRPr="000A74DD">
        <w:rPr>
          <w:rFonts w:ascii="Arial" w:hAnsi="Arial" w:cs="Arial"/>
          <w:sz w:val="24"/>
          <w:szCs w:val="24"/>
          <w:lang w:val="en-AU" w:eastAsia="en-US"/>
        </w:rPr>
        <w:t>a penalty of up to $1 000 for a</w:t>
      </w:r>
      <w:r w:rsidRPr="000A74DD">
        <w:rPr>
          <w:rFonts w:ascii="Arial" w:hAnsi="Arial" w:cs="Arial"/>
          <w:sz w:val="24"/>
          <w:szCs w:val="24"/>
          <w:lang w:val="en-AU" w:eastAsia="en-US"/>
        </w:rPr>
        <w:t xml:space="preserve"> first offence, $2 500 for a second offence and $5 000 for a subsequent offence. Clause 38 provides that a fishery licence is not to be transferable unless the scheme of management for the particular fishery so provides, in which case, it is only to be transferable if the Director is satisfied as to the matters prescribed by the scheme of management and consents to the transfer. Clause 39 provides that the registration of a boat or master of a boat endorsed on a fishery licence terminates or is suspended if the licence terminates or is suspended. Clause 40 requires the holder of a fishery licence to carry it with him at all times when he is engaging in any fishing activity pursuant to the licence. The fishery licence must also be carried on a registered boat by the person in charge when the boat is being used for any purpose.</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 xml:space="preserve">Clause 41 provides that it shall be an offence if a person engages in a fishing activity of a class prescribed by regulation. The penalty fixed for this offence is a maximum of </w:t>
      </w:r>
      <w:r w:rsidR="00745825">
        <w:rPr>
          <w:rFonts w:ascii="Arial" w:hAnsi="Arial" w:cs="Arial"/>
          <w:sz w:val="24"/>
          <w:szCs w:val="24"/>
          <w:lang w:val="en-AU" w:eastAsia="en-US"/>
        </w:rPr>
        <w:br/>
      </w:r>
      <w:r w:rsidRPr="000A74DD">
        <w:rPr>
          <w:rFonts w:ascii="Arial" w:hAnsi="Arial" w:cs="Arial"/>
          <w:sz w:val="24"/>
          <w:szCs w:val="24"/>
          <w:lang w:val="en-AU" w:eastAsia="en-US"/>
        </w:rPr>
        <w:t xml:space="preserve">$1 000 in the case of a first offence, $2 500 in the case of a second offence and $5 000 in the case of a subsequent offence. It should be noted that under clause 69 a court </w:t>
      </w:r>
      <w:r w:rsidRPr="000A74DD">
        <w:rPr>
          <w:rFonts w:ascii="Arial" w:hAnsi="Arial" w:cs="Arial"/>
          <w:sz w:val="24"/>
          <w:szCs w:val="24"/>
          <w:lang w:val="en-AU" w:eastAsia="en-US"/>
        </w:rPr>
        <w:lastRenderedPageBreak/>
        <w:t>convicting a person of the offence, where fish were taken in contravention of the measure, is required to impose a further penalty equal to five times the wholesale value of the fish or $10 000, whichever is the lesser amount. The offence created by this clause is designed to cater for most of the controls on fishing, such as taking undersized fish, bag limits, closed seasons, closed waters, etc., which are separately provided for under the present Fisheries Act. This definition of a fishing activity by reference to any combination of factors achieves the necessary flexibility that is not present with the present approach.</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Clause 42 provides that it shall be an offence to take fish of a class declared by regulation to be protected. The penalty for a first offence is fixed at a maximum of $2 000 and, for a subsequent offence, at a maximum of $5 000, Clause 43 provides that the Governor may by proclamation declare that it shall be unlawful to engage in a fishing activity of a class specified in the proclamation during a period specified in the proclamation. Contravention of a proclamation under the clause is to be an offence attracting the same penalties as are provided in relation to clause 41.</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Clause 44, at subclause (1), provides that it shall be an offence if a person sells or purchases fish taken in waters to which this Act applies unless the fish were taken in pursuant to a fishery licence. Subclause (2) provides that it shall be an offence to sell or purchase, or have in one's possession, any fish taken in contravention of the measure of any fish of a class prescribed by regulation. The penalty for an offence against subclause (1) is to be a maximum of $5 000. The penalties for offences against subclause (2) are to be the same as those fixed in relation to clauses 41 and 43.</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Clause 45 provides that it shall be an offence if a person, without reasonable excuse, obstructs or interferes with a lawful fishing activity or interferes with fish taken in the course of a lawful fishing activity. Under the clause, a person engaged in a lawful fishing activity may request a person interfering with or obstructing the activity to cease the interference or obstructive conduct and that person is to be guilty of an offence unless he complies with the request. Provision is made for a court convicting a person of an offence against the clause to order the convicted person to pay compensation for any loss resulting from the commission of the offence.</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 xml:space="preserve">Clause 46 provides for the making of regulations for the conservation, enhancement and management of the living resources of the waters to which the measure applies, for the regulation of fishing and the protection of certain fish. The clause provides, in particular, for the declaration that a class of fishing activities is to constitute a fishery and for a scheme of management to be prescribed for the fishery. The scheme of management may limit applications for fishery licences to applications lodged during a specified period or a specified period after the Director has made a call for applications. The scheme may fix the maximum number of licences that may be in force in respect of the fishery, </w:t>
      </w:r>
      <w:r w:rsidRPr="000A74DD">
        <w:rPr>
          <w:rFonts w:ascii="Arial" w:hAnsi="Arial" w:cs="Arial"/>
          <w:sz w:val="24"/>
          <w:szCs w:val="24"/>
          <w:lang w:val="en-AU" w:eastAsia="en-US"/>
        </w:rPr>
        <w:lastRenderedPageBreak/>
        <w:t xml:space="preserve">prescribe the qualifications that applicants must possess in order to be eligible to be granted licences, and prescribe a procedure of competitive tendering or ballots under which applicants for licences who are eligible to be granted licences may be selected for the available number of licences. The scheme may prevent or restrict the granting of licences to bodies corporate or partnerships and may provide that only the holders of licences in respect of the fishery may be registered as masters of their boats. The </w:t>
      </w:r>
      <w:r w:rsidRPr="000A74DD">
        <w:rPr>
          <w:rStyle w:val="Bodytext7pt1"/>
          <w:rFonts w:ascii="Arial" w:hAnsi="Arial" w:cs="Arial"/>
          <w:b w:val="0"/>
          <w:sz w:val="24"/>
          <w:szCs w:val="24"/>
          <w:lang w:val="en-AU" w:eastAsia="en-US"/>
        </w:rPr>
        <w:t>scheme</w:t>
      </w:r>
      <w:r w:rsidRPr="000A74DD">
        <w:rPr>
          <w:rFonts w:ascii="Arial" w:hAnsi="Arial" w:cs="Arial"/>
          <w:sz w:val="24"/>
          <w:szCs w:val="24"/>
          <w:lang w:val="en-AU" w:eastAsia="en-US"/>
        </w:rPr>
        <w:t xml:space="preserve"> may authorise and regulate licence transfers, fix fees for licences and provide for any other matters with respect to fishery licences. The regulations may, in addition to prescribing schemes of management </w:t>
      </w:r>
      <w:r w:rsidR="005C09BF" w:rsidRPr="000A74DD">
        <w:rPr>
          <w:rFonts w:ascii="Arial" w:hAnsi="Arial" w:cs="Arial"/>
          <w:sz w:val="24"/>
          <w:szCs w:val="24"/>
          <w:lang w:val="en-AU" w:eastAsia="en-US"/>
        </w:rPr>
        <w:t>for licences, provide for the m</w:t>
      </w:r>
      <w:r w:rsidRPr="000A74DD">
        <w:rPr>
          <w:rFonts w:ascii="Arial" w:hAnsi="Arial" w:cs="Arial"/>
          <w:sz w:val="24"/>
          <w:szCs w:val="24"/>
          <w:lang w:val="en-AU" w:eastAsia="en-US"/>
        </w:rPr>
        <w:t>arking of registered boats, regulate the carrying or possession of fishing devices, require the registration of fishing devices and their marking, and regulate how fish are dealt with by the persons engaged in the fishing activities in the course of which they are taken.</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Division II of Part IV, comprising clauses 47 and 48, provides for the protection of the aquatic habitat. Clause 47 empowers the Governor to declare that any specified waters, or land and waters, are to be an aquatic reserve. Waters that are controlled aquatic reserve under the present Fisheries Act are to continue as aquatic reserve under this measure. Clause 48 provides that it shall be an offence if a person, unless authorised to do so under the regulations, or by a permit, enters or remains in an aquatic reserve. Subclause (2) provides that it shall be an offence if a person, unless authorised to do so by the regulations or a permit, engages in any operation involving or resulting in disturbance of the bed of any waters, removal of or interference with aquatic or benthic flora or fauna of any waters, or discharge, release or deposit of any matter (whether solid, liquid or gaseous) in any waters. Under subclause (3), the Director is authorised to issue permits which may be made subject to conditions.</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Division III, comprising clauses 49, 50 and 51, provides for exotic fish, fish farming and disease in fish. Clause 49, at subclause (1), provides that it shall be an offence if any person brings into the State or sells, purchases or delivers any exotic fish. 'Exotic fish' are defined by clause 5 as being fish of a class declared by regulation to be exotic fish. Subclause (2) provides that it shall be an offence if a person, on or after the expiration of six months from the commencement of the clause, has in his possession or control any exotic fish unless he has possessed the exotic fish since the commencement of the clause and obtained a permit from the Director to continue to possess them. These requirements are not to apply to exotic fish excepted by regulation.</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 xml:space="preserve">Clause 50 provides that it shall be an offence if any person releases, permits to escape or deposits in any waters any exotic fish, any farm fish or any fish that have been kept apart from their natural habitat. Under the clause, the Director may issue a permit authorising a person to release fish of a class prescribed by regulation into waters specified in the permit subject to conditions specified in the permit. Clause 51 empowers the Governor to </w:t>
      </w:r>
      <w:r w:rsidRPr="000A74DD">
        <w:rPr>
          <w:rFonts w:ascii="Arial" w:hAnsi="Arial" w:cs="Arial"/>
          <w:sz w:val="24"/>
          <w:szCs w:val="24"/>
          <w:lang w:val="en-AU" w:eastAsia="en-US"/>
        </w:rPr>
        <w:lastRenderedPageBreak/>
        <w:t>make regulations for the control of exotic fish, the regulation of fish farming and the control of disease in fish.</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20"/>
        <w:jc w:val="left"/>
        <w:rPr>
          <w:rFonts w:ascii="Arial" w:hAnsi="Arial" w:cs="Arial"/>
          <w:sz w:val="24"/>
          <w:szCs w:val="24"/>
          <w:lang w:val="en-AU" w:eastAsia="en-US"/>
        </w:rPr>
      </w:pPr>
      <w:r w:rsidRPr="000A74DD">
        <w:rPr>
          <w:rFonts w:ascii="Arial" w:hAnsi="Arial" w:cs="Arial"/>
          <w:sz w:val="24"/>
          <w:szCs w:val="24"/>
          <w:lang w:val="en-AU" w:eastAsia="en-US"/>
        </w:rPr>
        <w:t>Division IV of Part IV, comprising clauses 52 and 53, provides for the grant of leases or licences to farm or tak</w:t>
      </w:r>
      <w:r w:rsidR="005C09BF" w:rsidRPr="000A74DD">
        <w:rPr>
          <w:rFonts w:ascii="Arial" w:hAnsi="Arial" w:cs="Arial"/>
          <w:sz w:val="24"/>
          <w:szCs w:val="24"/>
          <w:lang w:val="en-AU" w:eastAsia="en-US"/>
        </w:rPr>
        <w:t>e fish. Clause 52 defines 'fish'</w:t>
      </w:r>
      <w:r w:rsidRPr="000A74DD">
        <w:rPr>
          <w:rFonts w:ascii="Arial" w:hAnsi="Arial" w:cs="Arial"/>
          <w:sz w:val="24"/>
          <w:szCs w:val="24"/>
          <w:lang w:val="en-AU" w:eastAsia="en-US"/>
        </w:rPr>
        <w:t xml:space="preserve"> for the purposes of Division IV to include the fibre of sea grass and sponges. Clause 53 authorises the Minister to grant a lease or licence for a term not exceeding ten years in respect of an area consisting of land or waters, or land and waters, conferring rights to occupy and use the area for fish farming or to take fish from the area.</w:t>
      </w:r>
    </w:p>
    <w:p w:rsidR="00745825" w:rsidRDefault="00745825" w:rsidP="00745825">
      <w:pPr>
        <w:pStyle w:val="BodyText"/>
        <w:shd w:val="clear" w:color="auto" w:fill="auto"/>
        <w:spacing w:line="276" w:lineRule="auto"/>
        <w:ind w:left="40" w:right="20"/>
        <w:jc w:val="left"/>
        <w:rPr>
          <w:rFonts w:ascii="Arial" w:hAnsi="Arial" w:cs="Arial"/>
          <w:sz w:val="24"/>
          <w:szCs w:val="24"/>
          <w:lang w:val="en-AU" w:eastAsia="en-US"/>
        </w:rPr>
      </w:pPr>
    </w:p>
    <w:p w:rsidR="00B10BEA" w:rsidRPr="000A74DD" w:rsidRDefault="00B10BEA" w:rsidP="00745825">
      <w:pPr>
        <w:pStyle w:val="BodyText"/>
        <w:shd w:val="clear" w:color="auto" w:fill="auto"/>
        <w:spacing w:line="276" w:lineRule="auto"/>
        <w:ind w:left="40" w:right="20"/>
        <w:jc w:val="left"/>
        <w:rPr>
          <w:rFonts w:ascii="Arial" w:hAnsi="Arial" w:cs="Arial"/>
          <w:sz w:val="24"/>
          <w:szCs w:val="24"/>
          <w:lang w:val="en-AU"/>
        </w:rPr>
      </w:pPr>
      <w:r w:rsidRPr="000A74DD">
        <w:rPr>
          <w:rFonts w:ascii="Arial" w:hAnsi="Arial" w:cs="Arial"/>
          <w:sz w:val="24"/>
          <w:szCs w:val="24"/>
          <w:lang w:val="en-AU" w:eastAsia="en-US"/>
        </w:rPr>
        <w:t>Division V of Part IV, comprising clauses 54 and 55, deals with fish processing. Clause 54 requires any person who acts as a fish processor to be registered and for the premises, places, boats and vehicles used by him in that operation to be specified in his certificate of registration. Clause 55 authorises the Governor to make regulations with respect to fish processing and matters ancillary or incidental to, or connected with, fish processing. Division VI of Part IV, comprising sections 56 and 57 makes provision for the suspension or cancellation of authorities, that is, any licence, registration, lease or permit under the measure.</w:t>
      </w:r>
    </w:p>
    <w:p w:rsidR="00745825" w:rsidRDefault="00745825" w:rsidP="00745825">
      <w:pPr>
        <w:pStyle w:val="BodyText"/>
        <w:shd w:val="clear" w:color="auto" w:fill="auto"/>
        <w:spacing w:line="276" w:lineRule="auto"/>
        <w:ind w:left="40" w:right="40"/>
        <w:jc w:val="left"/>
        <w:rPr>
          <w:rFonts w:ascii="Arial" w:hAnsi="Arial" w:cs="Arial"/>
          <w:sz w:val="24"/>
          <w:szCs w:val="24"/>
          <w:lang w:val="en-AU" w:eastAsia="en-US"/>
        </w:rPr>
      </w:pPr>
    </w:p>
    <w:p w:rsidR="00745825" w:rsidRDefault="00B10BEA" w:rsidP="00745825">
      <w:pPr>
        <w:pStyle w:val="BodyText"/>
        <w:shd w:val="clear" w:color="auto" w:fill="auto"/>
        <w:spacing w:line="276" w:lineRule="auto"/>
        <w:ind w:left="40" w:right="40"/>
        <w:jc w:val="left"/>
        <w:rPr>
          <w:rFonts w:ascii="Arial" w:hAnsi="Arial" w:cs="Arial"/>
          <w:sz w:val="24"/>
          <w:szCs w:val="24"/>
          <w:lang w:val="en-AU" w:eastAsia="en-US"/>
        </w:rPr>
      </w:pPr>
      <w:r w:rsidRPr="000A74DD">
        <w:rPr>
          <w:rFonts w:ascii="Arial" w:hAnsi="Arial" w:cs="Arial"/>
          <w:sz w:val="24"/>
          <w:szCs w:val="24"/>
          <w:lang w:val="en-AU" w:eastAsia="en-US"/>
        </w:rPr>
        <w:t>Clause 56, at subclause (1), empowers a court convicting the holder of an authority of an offence against the measure, in addition to imposing any other penalty, to order the suspension or cancellation of the authority. Subclause (2) provides that, where the holder of a fishery licence is convicted of one of a number of offences specified in subclause (9), the Director is to cause the conviction to be recorded on the licence. Subclause (3) provides that, where a court convicts the holder of a fishery licence of one of those offences and that person has previously been convicted of such an offence, or there is recorded on the licence a conviction for such an offence, committed during the preceding period of three years, the court must suspend the licence for a minimum period of three months during which fishing pursuant to the licence would otherwise have been lawful. Where the holder has been convicted of two such previous offences, or two such previous offences are recorded on the licence, the convicting court must cancel the licence. A previous conviction recorded on a fishery licence is to be taken into account in relation to an offence committed by the holder of the licence whether or not the previous offence was committed by that person or a previous holder of the licence. This is necessary in order to ensure that there will be little incentive to transfer licences in order to avoid suspension or cancellation. Subclauses (4) and (5) provide that these provisions do not apply in relation to an offence that the convicting court has certified to be trifling.</w:t>
      </w:r>
    </w:p>
    <w:p w:rsidR="00745825" w:rsidRDefault="00745825" w:rsidP="00745825">
      <w:pPr>
        <w:pStyle w:val="BodyText"/>
        <w:shd w:val="clear" w:color="auto" w:fill="auto"/>
        <w:spacing w:line="276" w:lineRule="auto"/>
        <w:ind w:left="40" w:right="40"/>
        <w:jc w:val="left"/>
        <w:rPr>
          <w:rFonts w:ascii="Arial" w:hAnsi="Arial" w:cs="Arial"/>
          <w:sz w:val="24"/>
          <w:szCs w:val="24"/>
          <w:lang w:val="en-AU" w:eastAsia="en-US"/>
        </w:rPr>
      </w:pPr>
    </w:p>
    <w:p w:rsidR="00B10BEA" w:rsidRPr="000A74DD" w:rsidRDefault="00B10BEA" w:rsidP="00745825">
      <w:pPr>
        <w:pStyle w:val="BodyText"/>
        <w:shd w:val="clear" w:color="auto" w:fill="auto"/>
        <w:spacing w:line="276" w:lineRule="auto"/>
        <w:ind w:left="40" w:right="40"/>
        <w:jc w:val="left"/>
        <w:rPr>
          <w:rFonts w:ascii="Arial" w:hAnsi="Arial" w:cs="Arial"/>
          <w:sz w:val="24"/>
          <w:szCs w:val="24"/>
          <w:lang w:val="en-AU"/>
        </w:rPr>
      </w:pPr>
      <w:r w:rsidRPr="000A74DD">
        <w:rPr>
          <w:rFonts w:ascii="Arial" w:hAnsi="Arial" w:cs="Arial"/>
          <w:sz w:val="24"/>
          <w:szCs w:val="24"/>
          <w:lang w:val="en-AU" w:eastAsia="en-US"/>
        </w:rPr>
        <w:t xml:space="preserve">Clause 57 empowers the Minister to suspend or cancel an authority if he is satisfied that it was obtained improperly or that the holder of the authority has been convicted of an offence against any other Act, whether an Act of this State, another State, a Territory or the Commonwealth, being an offence related to fishing or involving violent or threatening </w:t>
      </w:r>
      <w:r w:rsidRPr="000A74DD">
        <w:rPr>
          <w:rFonts w:ascii="Arial" w:hAnsi="Arial" w:cs="Arial"/>
          <w:sz w:val="24"/>
          <w:szCs w:val="24"/>
          <w:lang w:val="en-AU" w:eastAsia="en-US"/>
        </w:rPr>
        <w:lastRenderedPageBreak/>
        <w:t>behaviour and of such a nature that the Minister is of the opinion that the authority should be suspended or cancelled. Division VII of Part IV, comprising clause 58, provides for review of decisions of the Minister or Director.</w:t>
      </w:r>
    </w:p>
    <w:p w:rsidR="00745825" w:rsidRDefault="00745825" w:rsidP="00745825">
      <w:pPr>
        <w:pStyle w:val="BodyText"/>
        <w:shd w:val="clear" w:color="auto" w:fill="auto"/>
        <w:spacing w:line="276" w:lineRule="auto"/>
        <w:ind w:left="40" w:right="40"/>
        <w:jc w:val="left"/>
        <w:rPr>
          <w:rFonts w:ascii="Arial" w:hAnsi="Arial" w:cs="Arial"/>
          <w:sz w:val="24"/>
          <w:szCs w:val="24"/>
          <w:lang w:val="en-AU" w:eastAsia="en-US"/>
        </w:rPr>
      </w:pPr>
    </w:p>
    <w:p w:rsidR="00B10BEA" w:rsidRPr="000A74DD" w:rsidRDefault="00B10BEA" w:rsidP="00745825">
      <w:pPr>
        <w:pStyle w:val="BodyText"/>
        <w:shd w:val="clear" w:color="auto" w:fill="auto"/>
        <w:spacing w:line="276" w:lineRule="auto"/>
        <w:ind w:left="40" w:right="40"/>
        <w:jc w:val="left"/>
        <w:rPr>
          <w:rFonts w:ascii="Arial" w:hAnsi="Arial" w:cs="Arial"/>
          <w:sz w:val="24"/>
          <w:szCs w:val="24"/>
          <w:lang w:val="en-AU" w:eastAsia="en-US"/>
        </w:rPr>
      </w:pPr>
      <w:r w:rsidRPr="000A74DD">
        <w:rPr>
          <w:rFonts w:ascii="Arial" w:hAnsi="Arial" w:cs="Arial"/>
          <w:sz w:val="24"/>
          <w:szCs w:val="24"/>
          <w:lang w:val="en-AU" w:eastAsia="en-US"/>
        </w:rPr>
        <w:t>Clause 58 provides for review by a District Court of a decision of the Director refusing an application for an authority, or the transfer of an authority, or imposing or varying a condition of an authority, or a decision of the Minister refusing an application for the release of anything that has been seized and is being held pending the determination</w:t>
      </w:r>
      <w:r w:rsidR="00CD788D">
        <w:rPr>
          <w:rFonts w:ascii="Arial" w:hAnsi="Arial" w:cs="Arial"/>
          <w:sz w:val="24"/>
          <w:szCs w:val="24"/>
          <w:lang w:val="en-AU" w:eastAsia="en-US"/>
        </w:rPr>
        <w:t xml:space="preserve"> </w:t>
      </w:r>
      <w:r w:rsidRPr="000A74DD">
        <w:rPr>
          <w:rStyle w:val="BodytextItalic2"/>
          <w:rFonts w:ascii="Arial" w:hAnsi="Arial" w:cs="Arial"/>
          <w:i w:val="0"/>
          <w:sz w:val="24"/>
          <w:szCs w:val="24"/>
          <w:lang w:val="en-AU" w:eastAsia="en-US"/>
        </w:rPr>
        <w:t>of</w:t>
      </w:r>
      <w:r w:rsidRPr="000A74DD">
        <w:rPr>
          <w:rFonts w:ascii="Arial" w:hAnsi="Arial" w:cs="Arial"/>
          <w:sz w:val="24"/>
          <w:szCs w:val="24"/>
          <w:lang w:val="en-AU" w:eastAsia="en-US"/>
        </w:rPr>
        <w:t xml:space="preserve"> proceedings for an offence, or by a decision of the Minister under clause 57 suspending or cancelling an authority. Part V, comprising clauses 59 to 72, contains miscellaneous provisions.</w:t>
      </w:r>
    </w:p>
    <w:p w:rsidR="00745825" w:rsidRDefault="00745825" w:rsidP="00745825">
      <w:pPr>
        <w:pStyle w:val="BodyText"/>
        <w:shd w:val="clear" w:color="auto" w:fill="auto"/>
        <w:spacing w:line="276" w:lineRule="auto"/>
        <w:ind w:left="40" w:right="40"/>
        <w:jc w:val="left"/>
        <w:rPr>
          <w:rFonts w:ascii="Arial" w:hAnsi="Arial" w:cs="Arial"/>
          <w:sz w:val="24"/>
          <w:szCs w:val="24"/>
          <w:lang w:val="en-AU" w:eastAsia="en-US"/>
        </w:rPr>
      </w:pPr>
    </w:p>
    <w:p w:rsidR="00B10BEA" w:rsidRPr="000A74DD" w:rsidRDefault="00B10BEA" w:rsidP="00745825">
      <w:pPr>
        <w:pStyle w:val="BodyText"/>
        <w:shd w:val="clear" w:color="auto" w:fill="auto"/>
        <w:spacing w:line="276" w:lineRule="auto"/>
        <w:ind w:left="40" w:right="40"/>
        <w:jc w:val="left"/>
        <w:rPr>
          <w:rFonts w:ascii="Arial" w:hAnsi="Arial" w:cs="Arial"/>
          <w:sz w:val="24"/>
          <w:szCs w:val="24"/>
          <w:lang w:val="en-AU"/>
        </w:rPr>
      </w:pPr>
      <w:r w:rsidRPr="000A74DD">
        <w:rPr>
          <w:rFonts w:ascii="Arial" w:hAnsi="Arial" w:cs="Arial"/>
          <w:sz w:val="24"/>
          <w:szCs w:val="24"/>
          <w:lang w:val="en-AU" w:eastAsia="en-US"/>
        </w:rPr>
        <w:t>Clause 59 empowers the Minister to grant exemptions from compliance with provisions of the measure. An exemption may be made subject to conditions determined by the Minister. Clause 60 empowers the Director to require the holder of an authority to return the authority if it is suspended or cancelled, or for the purpose of varying or revoking a condition of the authority, or imposing a further condition, or, in the case of a fishery licence, for the purpose of recording a conviction on the licence. Clause 61 provides for the surrender of an authority. Clause 62 provides for the issue of duplicate copies of authorities. Clause 63 prohibits misuse of authorities. Clause 64 makes provision with respect to the holding of authorities by partnerships.</w:t>
      </w:r>
    </w:p>
    <w:p w:rsidR="00745825" w:rsidRDefault="00745825" w:rsidP="00745825">
      <w:pPr>
        <w:pStyle w:val="BodyText"/>
        <w:shd w:val="clear" w:color="auto" w:fill="auto"/>
        <w:spacing w:line="276" w:lineRule="auto"/>
        <w:ind w:left="40" w:right="40"/>
        <w:jc w:val="left"/>
        <w:rPr>
          <w:rFonts w:ascii="Arial" w:hAnsi="Arial" w:cs="Arial"/>
          <w:sz w:val="24"/>
          <w:szCs w:val="24"/>
          <w:lang w:val="en-AU" w:eastAsia="en-US"/>
        </w:rPr>
      </w:pPr>
    </w:p>
    <w:p w:rsidR="00222073" w:rsidRDefault="00B10BEA" w:rsidP="00222073">
      <w:pPr>
        <w:pStyle w:val="BodyText"/>
        <w:shd w:val="clear" w:color="auto" w:fill="auto"/>
        <w:spacing w:line="276" w:lineRule="auto"/>
        <w:ind w:left="40" w:right="40"/>
        <w:jc w:val="left"/>
        <w:rPr>
          <w:rFonts w:ascii="Arial" w:hAnsi="Arial" w:cs="Arial"/>
          <w:sz w:val="24"/>
          <w:szCs w:val="24"/>
          <w:lang w:val="en-AU" w:eastAsia="en-US"/>
        </w:rPr>
      </w:pPr>
      <w:r w:rsidRPr="000A74DD">
        <w:rPr>
          <w:rFonts w:ascii="Arial" w:hAnsi="Arial" w:cs="Arial"/>
          <w:sz w:val="24"/>
          <w:szCs w:val="24"/>
          <w:lang w:val="en-AU" w:eastAsia="en-US"/>
        </w:rPr>
        <w:t>Clause 65 requires the Director to keep a register of authorities and to make it available for public inspection. Clause 66 provides that where a person is convicted of an offence involving the taking of fish, the court shall, in addition to imposing any other penalty prescribed by this Act, impose a penalty equal to five times the amount determined by the convicting court to be the wholesale value of the fish at the time they were taken, or $ 10 000, whichever is the lesser amount. Clause 67 contains evidentiary provisions. Clause 68 provides that it shall be an offence if a person furnishes information for the purposes of the measure that is false or misl</w:t>
      </w:r>
      <w:r w:rsidR="00C27BE1" w:rsidRPr="000A74DD">
        <w:rPr>
          <w:rFonts w:ascii="Arial" w:hAnsi="Arial" w:cs="Arial"/>
          <w:sz w:val="24"/>
          <w:szCs w:val="24"/>
          <w:lang w:val="en-AU" w:eastAsia="en-US"/>
        </w:rPr>
        <w:t>eading in a material particular.</w:t>
      </w:r>
    </w:p>
    <w:p w:rsidR="00222073" w:rsidRDefault="00222073" w:rsidP="00222073">
      <w:pPr>
        <w:pStyle w:val="BodyText"/>
        <w:shd w:val="clear" w:color="auto" w:fill="auto"/>
        <w:spacing w:line="276" w:lineRule="auto"/>
        <w:ind w:left="40" w:right="40"/>
        <w:jc w:val="left"/>
        <w:rPr>
          <w:rFonts w:ascii="Arial" w:hAnsi="Arial" w:cs="Arial"/>
          <w:sz w:val="24"/>
          <w:szCs w:val="24"/>
          <w:lang w:val="en-AU" w:eastAsia="en-US"/>
        </w:rPr>
      </w:pPr>
    </w:p>
    <w:p w:rsidR="00222073" w:rsidRDefault="00B10BEA" w:rsidP="00222073">
      <w:pPr>
        <w:pStyle w:val="BodyText"/>
        <w:shd w:val="clear" w:color="auto" w:fill="auto"/>
        <w:spacing w:line="276" w:lineRule="auto"/>
        <w:ind w:left="40" w:right="40"/>
        <w:jc w:val="left"/>
        <w:rPr>
          <w:rFonts w:ascii="Arial" w:hAnsi="Arial" w:cs="Arial"/>
          <w:sz w:val="24"/>
          <w:szCs w:val="24"/>
          <w:lang w:val="en-AU" w:eastAsia="en-US"/>
        </w:rPr>
      </w:pPr>
      <w:r w:rsidRPr="000A74DD">
        <w:rPr>
          <w:rFonts w:ascii="Arial" w:hAnsi="Arial" w:cs="Arial"/>
          <w:sz w:val="24"/>
          <w:szCs w:val="24"/>
          <w:lang w:val="en-AU" w:eastAsia="en-US"/>
        </w:rPr>
        <w:t>Clause 69 provides that, where a body corporate is guilty of an offence, every member of the governing body of the body corporate is guilty of a similar offence unless he proves that he could not by reasonable diligence have prevented the commission of the offence. Subclause (2) makes a principal liable for an offence if his agent commits an offence while acting as his agent. Subclause (3) makes the holder of a fishery licence guilty of an offence if his registered boat is used in the commission of the offence. Clause 70 provides that proceedings for an offence against the measure are to be disposed of summarily and may be commenced within twelve months of the day on which the offence is alleged to have been committed. Clause 71 provides for the service of documents. Clause 72 provides for the making of regulations.</w:t>
      </w:r>
    </w:p>
    <w:p w:rsidR="00222073" w:rsidRDefault="00222073" w:rsidP="00222073">
      <w:pPr>
        <w:pStyle w:val="BodyText"/>
        <w:shd w:val="clear" w:color="auto" w:fill="auto"/>
        <w:spacing w:line="276" w:lineRule="auto"/>
        <w:ind w:left="40" w:right="40"/>
        <w:jc w:val="left"/>
        <w:rPr>
          <w:rFonts w:ascii="Arial" w:hAnsi="Arial" w:cs="Arial"/>
          <w:sz w:val="24"/>
          <w:szCs w:val="24"/>
          <w:lang w:val="en-AU" w:eastAsia="en-US"/>
        </w:rPr>
      </w:pPr>
    </w:p>
    <w:p w:rsidR="00B10BEA" w:rsidRDefault="00B10BEA" w:rsidP="00222073">
      <w:pPr>
        <w:pStyle w:val="BodyText"/>
        <w:shd w:val="clear" w:color="auto" w:fill="auto"/>
        <w:spacing w:line="276" w:lineRule="auto"/>
        <w:ind w:left="40" w:right="40"/>
        <w:jc w:val="left"/>
        <w:rPr>
          <w:rFonts w:ascii="Arial" w:hAnsi="Arial" w:cs="Arial"/>
          <w:sz w:val="24"/>
          <w:szCs w:val="24"/>
          <w:lang w:val="en-AU" w:eastAsia="en-US"/>
        </w:rPr>
      </w:pPr>
      <w:r w:rsidRPr="000A74DD">
        <w:rPr>
          <w:rFonts w:ascii="Arial" w:hAnsi="Arial" w:cs="Arial"/>
          <w:b/>
          <w:sz w:val="24"/>
          <w:szCs w:val="24"/>
          <w:lang w:val="en-AU" w:eastAsia="en-US"/>
        </w:rPr>
        <w:lastRenderedPageBreak/>
        <w:t>The Hon. C. J. SUMNER</w:t>
      </w:r>
      <w:r w:rsidRPr="000A74DD">
        <w:rPr>
          <w:rFonts w:ascii="Arial" w:hAnsi="Arial" w:cs="Arial"/>
          <w:sz w:val="24"/>
          <w:szCs w:val="24"/>
          <w:lang w:val="en-AU" w:eastAsia="en-US"/>
        </w:rPr>
        <w:t xml:space="preserve"> secured the adjournment of the debate.</w:t>
      </w:r>
    </w:p>
    <w:p w:rsidR="00222073" w:rsidRPr="00222073" w:rsidRDefault="00222073" w:rsidP="00222073">
      <w:pPr>
        <w:pStyle w:val="BodyText"/>
        <w:shd w:val="clear" w:color="auto" w:fill="auto"/>
        <w:spacing w:line="276" w:lineRule="auto"/>
        <w:ind w:left="40" w:right="40"/>
        <w:jc w:val="left"/>
        <w:rPr>
          <w:rFonts w:ascii="Arial" w:hAnsi="Arial" w:cs="Arial"/>
          <w:bCs/>
          <w:sz w:val="24"/>
          <w:szCs w:val="24"/>
          <w:lang w:val="en-AU" w:eastAsia="en-US"/>
        </w:rPr>
      </w:pPr>
    </w:p>
    <w:sectPr w:rsidR="00222073" w:rsidRPr="00222073" w:rsidSect="00274C13">
      <w:footerReference w:type="default" r:id="rId7"/>
      <w:headerReference w:type="first" r:id="rId8"/>
      <w:pgSz w:w="11906" w:h="16838" w:code="9"/>
      <w:pgMar w:top="1282" w:right="1411" w:bottom="2131" w:left="113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071" w:rsidRDefault="000F0071" w:rsidP="00B10BEA">
      <w:r>
        <w:separator/>
      </w:r>
    </w:p>
  </w:endnote>
  <w:endnote w:type="continuationSeparator" w:id="1">
    <w:p w:rsidR="000F0071" w:rsidRDefault="000F0071" w:rsidP="00B10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8D" w:rsidRDefault="00CD788D" w:rsidP="00CD788D">
    <w:pPr>
      <w:pStyle w:val="Footer"/>
      <w:jc w:val="right"/>
      <w:rPr>
        <w:color w:val="548DD4" w:themeColor="text2" w:themeTint="99"/>
      </w:rPr>
    </w:pPr>
    <w:r>
      <w:rPr>
        <w:rFonts w:hint="eastAsia"/>
        <w:noProof/>
        <w:color w:val="548DD4" w:themeColor="text2" w:themeTint="99"/>
      </w:rPr>
      <w:t>History of Agriculture South Australia</w:t>
    </w:r>
  </w:p>
  <w:p w:rsidR="00CD788D" w:rsidRDefault="00CD7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071" w:rsidRDefault="000F0071" w:rsidP="00B10BEA">
      <w:r>
        <w:separator/>
      </w:r>
    </w:p>
  </w:footnote>
  <w:footnote w:type="continuationSeparator" w:id="1">
    <w:p w:rsidR="000F0071" w:rsidRDefault="000F0071" w:rsidP="00B10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BF" w:rsidRDefault="005C09BF" w:rsidP="00B10BEA">
    <w:pPr>
      <w:pStyle w:val="Headerorfooter0"/>
      <w:framePr w:w="10442" w:h="220" w:wrap="none" w:vAnchor="text" w:hAnchor="page" w:x="3296" w:y="923"/>
      <w:shd w:val="clear" w:color="auto" w:fill="auto"/>
      <w:tabs>
        <w:tab w:val="center" w:pos="5702"/>
        <w:tab w:val="right" w:pos="10339"/>
      </w:tabs>
      <w:ind w:left="1080"/>
    </w:pPr>
    <w:r>
      <w:rPr>
        <w:rStyle w:val="HeaderorfooterBold"/>
        <w:lang w:eastAsia="en-US"/>
      </w:rPr>
      <w:t>6 April 1982</w:t>
    </w:r>
    <w:r>
      <w:rPr>
        <w:rStyle w:val="HeaderorfooterBold"/>
        <w:lang w:eastAsia="en-US"/>
      </w:rPr>
      <w:tab/>
      <w:t>LEGISLATIVE COUNCIL</w:t>
    </w:r>
    <w:r>
      <w:rPr>
        <w:rStyle w:val="HeaderorfooterBold"/>
        <w:lang w:eastAsia="en-US"/>
      </w:rPr>
      <w:tab/>
      <w:t>4053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2">
      <w:start w:val="1"/>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3">
      <w:start w:val="1"/>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4">
      <w:start w:val="1"/>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5">
      <w:start w:val="1"/>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6">
      <w:start w:val="1"/>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7">
      <w:start w:val="1"/>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lvl w:ilvl="8">
      <w:start w:val="1"/>
      <w:numFmt w:val="lowerLetter"/>
      <w:lvlText w:val="(%2)"/>
      <w:lvlJc w:val="left"/>
      <w:rPr>
        <w:rFonts w:ascii="Times New Roman" w:hAnsi="Times New Roman" w:cs="Times New Roman"/>
        <w:b w:val="0"/>
        <w:bCs w:val="0"/>
        <w:i/>
        <w:iCs/>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lowerRoman"/>
      <w:lvlText w:val="(%1)"/>
      <w:lvlJc w:val="left"/>
      <w:rPr>
        <w:rFonts w:ascii="Times New Roman" w:hAnsi="Times New Roman" w:cs="Times New Roman"/>
        <w:b/>
        <w:bCs/>
        <w:i w:val="0"/>
        <w:iCs w:val="0"/>
        <w:smallCaps w:val="0"/>
        <w:strike w:val="0"/>
        <w:color w:val="000000"/>
        <w:spacing w:val="0"/>
        <w:w w:val="100"/>
        <w:position w:val="0"/>
        <w:sz w:val="14"/>
        <w:szCs w:val="14"/>
        <w:u w:val="none"/>
      </w:rPr>
    </w:lvl>
    <w:lvl w:ilvl="1">
      <w:start w:val="1"/>
      <w:numFmt w:val="lowerRoman"/>
      <w:lvlText w:val="(%1)"/>
      <w:lvlJc w:val="left"/>
      <w:rPr>
        <w:rFonts w:ascii="Times New Roman" w:hAnsi="Times New Roman" w:cs="Times New Roman"/>
        <w:b/>
        <w:bCs/>
        <w:i w:val="0"/>
        <w:iCs w:val="0"/>
        <w:smallCaps w:val="0"/>
        <w:strike w:val="0"/>
        <w:color w:val="000000"/>
        <w:spacing w:val="0"/>
        <w:w w:val="100"/>
        <w:position w:val="0"/>
        <w:sz w:val="14"/>
        <w:szCs w:val="14"/>
        <w:u w:val="none"/>
      </w:rPr>
    </w:lvl>
    <w:lvl w:ilvl="2">
      <w:start w:val="1"/>
      <w:numFmt w:val="lowerRoman"/>
      <w:lvlText w:val="(%1)"/>
      <w:lvlJc w:val="left"/>
      <w:rPr>
        <w:rFonts w:ascii="Times New Roman" w:hAnsi="Times New Roman" w:cs="Times New Roman"/>
        <w:b/>
        <w:bCs/>
        <w:i w:val="0"/>
        <w:iCs w:val="0"/>
        <w:smallCaps w:val="0"/>
        <w:strike w:val="0"/>
        <w:color w:val="000000"/>
        <w:spacing w:val="0"/>
        <w:w w:val="100"/>
        <w:position w:val="0"/>
        <w:sz w:val="14"/>
        <w:szCs w:val="14"/>
        <w:u w:val="none"/>
      </w:rPr>
    </w:lvl>
    <w:lvl w:ilvl="3">
      <w:start w:val="1"/>
      <w:numFmt w:val="lowerRoman"/>
      <w:lvlText w:val="(%1)"/>
      <w:lvlJc w:val="left"/>
      <w:rPr>
        <w:rFonts w:ascii="Times New Roman" w:hAnsi="Times New Roman" w:cs="Times New Roman"/>
        <w:b/>
        <w:bCs/>
        <w:i w:val="0"/>
        <w:iCs w:val="0"/>
        <w:smallCaps w:val="0"/>
        <w:strike w:val="0"/>
        <w:color w:val="000000"/>
        <w:spacing w:val="0"/>
        <w:w w:val="100"/>
        <w:position w:val="0"/>
        <w:sz w:val="14"/>
        <w:szCs w:val="14"/>
        <w:u w:val="none"/>
      </w:rPr>
    </w:lvl>
    <w:lvl w:ilvl="4">
      <w:start w:val="1"/>
      <w:numFmt w:val="lowerRoman"/>
      <w:lvlText w:val="(%1)"/>
      <w:lvlJc w:val="left"/>
      <w:rPr>
        <w:rFonts w:ascii="Times New Roman" w:hAnsi="Times New Roman" w:cs="Times New Roman"/>
        <w:b/>
        <w:bCs/>
        <w:i w:val="0"/>
        <w:iCs w:val="0"/>
        <w:smallCaps w:val="0"/>
        <w:strike w:val="0"/>
        <w:color w:val="000000"/>
        <w:spacing w:val="0"/>
        <w:w w:val="100"/>
        <w:position w:val="0"/>
        <w:sz w:val="14"/>
        <w:szCs w:val="14"/>
        <w:u w:val="none"/>
      </w:rPr>
    </w:lvl>
    <w:lvl w:ilvl="5">
      <w:start w:val="1"/>
      <w:numFmt w:val="lowerRoman"/>
      <w:lvlText w:val="(%1)"/>
      <w:lvlJc w:val="left"/>
      <w:rPr>
        <w:rFonts w:ascii="Times New Roman" w:hAnsi="Times New Roman" w:cs="Times New Roman"/>
        <w:b/>
        <w:bCs/>
        <w:i w:val="0"/>
        <w:iCs w:val="0"/>
        <w:smallCaps w:val="0"/>
        <w:strike w:val="0"/>
        <w:color w:val="000000"/>
        <w:spacing w:val="0"/>
        <w:w w:val="100"/>
        <w:position w:val="0"/>
        <w:sz w:val="14"/>
        <w:szCs w:val="14"/>
        <w:u w:val="none"/>
      </w:rPr>
    </w:lvl>
    <w:lvl w:ilvl="6">
      <w:start w:val="1"/>
      <w:numFmt w:val="lowerRoman"/>
      <w:lvlText w:val="(%1)"/>
      <w:lvlJc w:val="left"/>
      <w:rPr>
        <w:rFonts w:ascii="Times New Roman" w:hAnsi="Times New Roman" w:cs="Times New Roman"/>
        <w:b/>
        <w:bCs/>
        <w:i w:val="0"/>
        <w:iCs w:val="0"/>
        <w:smallCaps w:val="0"/>
        <w:strike w:val="0"/>
        <w:color w:val="000000"/>
        <w:spacing w:val="0"/>
        <w:w w:val="100"/>
        <w:position w:val="0"/>
        <w:sz w:val="14"/>
        <w:szCs w:val="14"/>
        <w:u w:val="none"/>
      </w:rPr>
    </w:lvl>
    <w:lvl w:ilvl="7">
      <w:start w:val="1"/>
      <w:numFmt w:val="lowerRoman"/>
      <w:lvlText w:val="(%1)"/>
      <w:lvlJc w:val="left"/>
      <w:rPr>
        <w:rFonts w:ascii="Times New Roman" w:hAnsi="Times New Roman" w:cs="Times New Roman"/>
        <w:b/>
        <w:bCs/>
        <w:i w:val="0"/>
        <w:iCs w:val="0"/>
        <w:smallCaps w:val="0"/>
        <w:strike w:val="0"/>
        <w:color w:val="000000"/>
        <w:spacing w:val="0"/>
        <w:w w:val="100"/>
        <w:position w:val="0"/>
        <w:sz w:val="14"/>
        <w:szCs w:val="14"/>
        <w:u w:val="none"/>
      </w:rPr>
    </w:lvl>
    <w:lvl w:ilvl="8">
      <w:start w:val="1"/>
      <w:numFmt w:val="lowerRoman"/>
      <w:lvlText w:val="(%1)"/>
      <w:lvlJc w:val="left"/>
      <w:rPr>
        <w:rFonts w:ascii="Times New Roman" w:hAnsi="Times New Roman" w:cs="Times New Roman"/>
        <w:b/>
        <w:bCs/>
        <w:i w:val="0"/>
        <w:iCs w:val="0"/>
        <w:smallCaps w:val="0"/>
        <w:strike w:val="0"/>
        <w:color w:val="000000"/>
        <w:spacing w:val="0"/>
        <w:w w:val="100"/>
        <w:position w:val="0"/>
        <w:sz w:val="14"/>
        <w:szCs w:val="14"/>
        <w:u w:val="none"/>
      </w:rPr>
    </w:lvl>
  </w:abstractNum>
  <w:abstractNum w:abstractNumId="2">
    <w:nsid w:val="310A14BE"/>
    <w:multiLevelType w:val="hybridMultilevel"/>
    <w:tmpl w:val="C890E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C70B3E"/>
    <w:rsid w:val="000A74DD"/>
    <w:rsid w:val="000F0071"/>
    <w:rsid w:val="000F10CB"/>
    <w:rsid w:val="001814A1"/>
    <w:rsid w:val="001946FB"/>
    <w:rsid w:val="00222073"/>
    <w:rsid w:val="00274C13"/>
    <w:rsid w:val="00306DCD"/>
    <w:rsid w:val="005C09BF"/>
    <w:rsid w:val="00604DC9"/>
    <w:rsid w:val="00745825"/>
    <w:rsid w:val="009D4168"/>
    <w:rsid w:val="00B10BEA"/>
    <w:rsid w:val="00BC0401"/>
    <w:rsid w:val="00BE11EA"/>
    <w:rsid w:val="00C27BE1"/>
    <w:rsid w:val="00C70B3E"/>
    <w:rsid w:val="00CD788D"/>
    <w:rsid w:val="00E042F9"/>
    <w:rsid w:val="00F45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6FB"/>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46FB"/>
    <w:rPr>
      <w:rFonts w:cs="Times New Roman"/>
      <w:color w:val="0066CC"/>
      <w:u w:val="single"/>
    </w:rPr>
  </w:style>
  <w:style w:type="character" w:customStyle="1" w:styleId="BodyTextChar1">
    <w:name w:val="Body Text Char1"/>
    <w:basedOn w:val="DefaultParagraphFont"/>
    <w:link w:val="BodyText"/>
    <w:uiPriority w:val="99"/>
    <w:locked/>
    <w:rsid w:val="001946FB"/>
    <w:rPr>
      <w:rFonts w:ascii="Times New Roman" w:hAnsi="Times New Roman" w:cs="Times New Roman"/>
      <w:spacing w:val="0"/>
      <w:sz w:val="17"/>
      <w:szCs w:val="17"/>
    </w:rPr>
  </w:style>
  <w:style w:type="character" w:customStyle="1" w:styleId="Bodytext7pt">
    <w:name w:val="Body text + 7 pt"/>
    <w:aliases w:val="Bold"/>
    <w:basedOn w:val="BodyTextChar1"/>
    <w:uiPriority w:val="99"/>
    <w:rsid w:val="001946FB"/>
    <w:rPr>
      <w:rFonts w:ascii="Times New Roman" w:hAnsi="Times New Roman" w:cs="Times New Roman"/>
      <w:b/>
      <w:bCs/>
      <w:spacing w:val="0"/>
      <w:sz w:val="14"/>
      <w:szCs w:val="14"/>
    </w:rPr>
  </w:style>
  <w:style w:type="character" w:customStyle="1" w:styleId="Headerorfooter">
    <w:name w:val="Header or footer_"/>
    <w:basedOn w:val="DefaultParagraphFont"/>
    <w:link w:val="Headerorfooter0"/>
    <w:uiPriority w:val="99"/>
    <w:locked/>
    <w:rsid w:val="001946FB"/>
    <w:rPr>
      <w:rFonts w:ascii="Times New Roman" w:hAnsi="Times New Roman" w:cs="Times New Roman"/>
      <w:sz w:val="20"/>
      <w:szCs w:val="20"/>
    </w:rPr>
  </w:style>
  <w:style w:type="character" w:customStyle="1" w:styleId="HeaderorfooterBold">
    <w:name w:val="Header or footer + Bold"/>
    <w:basedOn w:val="Headerorfooter"/>
    <w:uiPriority w:val="99"/>
    <w:rsid w:val="001946FB"/>
    <w:rPr>
      <w:rFonts w:ascii="Times New Roman" w:hAnsi="Times New Roman" w:cs="Times New Roman"/>
      <w:b/>
      <w:bCs/>
      <w:spacing w:val="0"/>
      <w:sz w:val="20"/>
      <w:szCs w:val="20"/>
    </w:rPr>
  </w:style>
  <w:style w:type="character" w:customStyle="1" w:styleId="BodytextBold">
    <w:name w:val="Body text + Bold"/>
    <w:basedOn w:val="BodyTextChar1"/>
    <w:uiPriority w:val="99"/>
    <w:rsid w:val="001946FB"/>
    <w:rPr>
      <w:rFonts w:ascii="Times New Roman" w:hAnsi="Times New Roman" w:cs="Times New Roman"/>
      <w:b/>
      <w:bCs/>
      <w:spacing w:val="0"/>
      <w:sz w:val="17"/>
      <w:szCs w:val="17"/>
    </w:rPr>
  </w:style>
  <w:style w:type="character" w:customStyle="1" w:styleId="Bodytext2">
    <w:name w:val="Body text (2)_"/>
    <w:basedOn w:val="DefaultParagraphFont"/>
    <w:link w:val="Bodytext20"/>
    <w:uiPriority w:val="99"/>
    <w:locked/>
    <w:rsid w:val="001946FB"/>
    <w:rPr>
      <w:rFonts w:ascii="Times New Roman" w:hAnsi="Times New Roman" w:cs="Times New Roman"/>
      <w:b/>
      <w:bCs/>
      <w:spacing w:val="0"/>
      <w:sz w:val="17"/>
      <w:szCs w:val="17"/>
    </w:rPr>
  </w:style>
  <w:style w:type="character" w:customStyle="1" w:styleId="Bodytext2NotBold">
    <w:name w:val="Body text (2) + Not Bold"/>
    <w:basedOn w:val="Bodytext2"/>
    <w:uiPriority w:val="99"/>
    <w:rsid w:val="001946FB"/>
    <w:rPr>
      <w:rFonts w:ascii="Times New Roman" w:hAnsi="Times New Roman" w:cs="Times New Roman"/>
      <w:b w:val="0"/>
      <w:bCs w:val="0"/>
      <w:spacing w:val="0"/>
      <w:sz w:val="17"/>
      <w:szCs w:val="17"/>
    </w:rPr>
  </w:style>
  <w:style w:type="character" w:customStyle="1" w:styleId="BodytextItalic">
    <w:name w:val="Body text + Italic"/>
    <w:basedOn w:val="BodyTextChar1"/>
    <w:uiPriority w:val="99"/>
    <w:rsid w:val="001946FB"/>
    <w:rPr>
      <w:rFonts w:ascii="Times New Roman" w:hAnsi="Times New Roman" w:cs="Times New Roman"/>
      <w:i/>
      <w:iCs/>
      <w:spacing w:val="0"/>
      <w:sz w:val="17"/>
      <w:szCs w:val="17"/>
    </w:rPr>
  </w:style>
  <w:style w:type="character" w:customStyle="1" w:styleId="BodytextItalic4">
    <w:name w:val="Body text + Italic4"/>
    <w:basedOn w:val="BodyTextChar1"/>
    <w:uiPriority w:val="99"/>
    <w:rsid w:val="001946FB"/>
    <w:rPr>
      <w:rFonts w:ascii="Times New Roman" w:hAnsi="Times New Roman" w:cs="Times New Roman"/>
      <w:i/>
      <w:iCs/>
      <w:spacing w:val="0"/>
      <w:sz w:val="17"/>
      <w:szCs w:val="17"/>
    </w:rPr>
  </w:style>
  <w:style w:type="character" w:customStyle="1" w:styleId="BodytextItalic3">
    <w:name w:val="Body text + Italic3"/>
    <w:basedOn w:val="BodyTextChar1"/>
    <w:uiPriority w:val="99"/>
    <w:rsid w:val="001946FB"/>
    <w:rPr>
      <w:rFonts w:ascii="Times New Roman" w:hAnsi="Times New Roman" w:cs="Times New Roman"/>
      <w:i/>
      <w:iCs/>
      <w:spacing w:val="0"/>
      <w:sz w:val="17"/>
      <w:szCs w:val="17"/>
    </w:rPr>
  </w:style>
  <w:style w:type="character" w:customStyle="1" w:styleId="Bodytext7pt1">
    <w:name w:val="Body text + 7 pt1"/>
    <w:aliases w:val="Bold1"/>
    <w:basedOn w:val="BodyTextChar1"/>
    <w:uiPriority w:val="99"/>
    <w:rsid w:val="001946FB"/>
    <w:rPr>
      <w:rFonts w:ascii="Times New Roman" w:hAnsi="Times New Roman" w:cs="Times New Roman"/>
      <w:b/>
      <w:bCs/>
      <w:spacing w:val="0"/>
      <w:sz w:val="14"/>
      <w:szCs w:val="14"/>
    </w:rPr>
  </w:style>
  <w:style w:type="character" w:customStyle="1" w:styleId="BodytextItalic2">
    <w:name w:val="Body text + Italic2"/>
    <w:basedOn w:val="BodyTextChar1"/>
    <w:uiPriority w:val="99"/>
    <w:rsid w:val="001946FB"/>
    <w:rPr>
      <w:rFonts w:ascii="Times New Roman" w:hAnsi="Times New Roman" w:cs="Times New Roman"/>
      <w:i/>
      <w:iCs/>
      <w:spacing w:val="0"/>
      <w:sz w:val="17"/>
      <w:szCs w:val="17"/>
    </w:rPr>
  </w:style>
  <w:style w:type="character" w:customStyle="1" w:styleId="Bodytext3">
    <w:name w:val="Body text (3)_"/>
    <w:basedOn w:val="DefaultParagraphFont"/>
    <w:link w:val="Bodytext30"/>
    <w:uiPriority w:val="99"/>
    <w:locked/>
    <w:rsid w:val="001946FB"/>
    <w:rPr>
      <w:rFonts w:ascii="Times New Roman" w:hAnsi="Times New Roman" w:cs="Times New Roman"/>
      <w:b/>
      <w:bCs/>
      <w:spacing w:val="0"/>
      <w:sz w:val="14"/>
      <w:szCs w:val="14"/>
    </w:rPr>
  </w:style>
  <w:style w:type="character" w:customStyle="1" w:styleId="BodytextItalic1">
    <w:name w:val="Body text + Italic1"/>
    <w:basedOn w:val="BodyTextChar1"/>
    <w:uiPriority w:val="99"/>
    <w:rsid w:val="001946FB"/>
    <w:rPr>
      <w:rFonts w:ascii="Times New Roman" w:hAnsi="Times New Roman" w:cs="Times New Roman"/>
      <w:i/>
      <w:iCs/>
      <w:spacing w:val="0"/>
      <w:sz w:val="17"/>
      <w:szCs w:val="17"/>
    </w:rPr>
  </w:style>
  <w:style w:type="paragraph" w:styleId="BodyText">
    <w:name w:val="Body Text"/>
    <w:basedOn w:val="Normal"/>
    <w:link w:val="BodyTextChar1"/>
    <w:uiPriority w:val="99"/>
    <w:rsid w:val="001946FB"/>
    <w:pPr>
      <w:shd w:val="clear" w:color="auto" w:fill="FFFFFF"/>
      <w:spacing w:line="198" w:lineRule="exact"/>
      <w:jc w:val="both"/>
    </w:pPr>
    <w:rPr>
      <w:rFonts w:ascii="Times New Roman" w:hAnsi="Times New Roman" w:cs="Times New Roman"/>
      <w:color w:val="auto"/>
      <w:sz w:val="17"/>
      <w:szCs w:val="17"/>
      <w:lang w:eastAsia="en-AU"/>
    </w:rPr>
  </w:style>
  <w:style w:type="character" w:customStyle="1" w:styleId="BodyTextChar">
    <w:name w:val="Body Text Char"/>
    <w:basedOn w:val="DefaultParagraphFont"/>
    <w:uiPriority w:val="99"/>
    <w:semiHidden/>
    <w:rsid w:val="001946FB"/>
    <w:rPr>
      <w:rFonts w:cs="Arial Unicode MS"/>
      <w:color w:val="000000"/>
    </w:rPr>
  </w:style>
  <w:style w:type="paragraph" w:customStyle="1" w:styleId="Headerorfooter0">
    <w:name w:val="Header or footer"/>
    <w:basedOn w:val="Normal"/>
    <w:link w:val="Headerorfooter"/>
    <w:uiPriority w:val="99"/>
    <w:rsid w:val="001946FB"/>
    <w:pPr>
      <w:shd w:val="clear" w:color="auto" w:fill="FFFFFF"/>
    </w:pPr>
    <w:rPr>
      <w:rFonts w:ascii="Times New Roman" w:hAnsi="Times New Roman" w:cs="Times New Roman"/>
      <w:color w:val="auto"/>
      <w:sz w:val="20"/>
      <w:szCs w:val="20"/>
      <w:lang w:eastAsia="en-AU"/>
    </w:rPr>
  </w:style>
  <w:style w:type="paragraph" w:customStyle="1" w:styleId="Bodytext20">
    <w:name w:val="Body text (2)"/>
    <w:basedOn w:val="Normal"/>
    <w:link w:val="Bodytext2"/>
    <w:uiPriority w:val="99"/>
    <w:rsid w:val="001946FB"/>
    <w:pPr>
      <w:shd w:val="clear" w:color="auto" w:fill="FFFFFF"/>
      <w:spacing w:before="420" w:after="240" w:line="240" w:lineRule="atLeast"/>
    </w:pPr>
    <w:rPr>
      <w:rFonts w:ascii="Times New Roman" w:hAnsi="Times New Roman" w:cs="Times New Roman"/>
      <w:b/>
      <w:bCs/>
      <w:color w:val="auto"/>
      <w:sz w:val="17"/>
      <w:szCs w:val="17"/>
      <w:lang w:eastAsia="en-AU"/>
    </w:rPr>
  </w:style>
  <w:style w:type="paragraph" w:customStyle="1" w:styleId="Bodytext30">
    <w:name w:val="Body text (3)"/>
    <w:basedOn w:val="Normal"/>
    <w:link w:val="Bodytext3"/>
    <w:uiPriority w:val="99"/>
    <w:rsid w:val="001946FB"/>
    <w:pPr>
      <w:shd w:val="clear" w:color="auto" w:fill="FFFFFF"/>
      <w:spacing w:before="60" w:line="158" w:lineRule="exact"/>
      <w:jc w:val="both"/>
    </w:pPr>
    <w:rPr>
      <w:rFonts w:ascii="Times New Roman" w:hAnsi="Times New Roman" w:cs="Times New Roman"/>
      <w:b/>
      <w:bCs/>
      <w:color w:val="auto"/>
      <w:sz w:val="14"/>
      <w:szCs w:val="14"/>
      <w:lang w:eastAsia="en-AU"/>
    </w:rPr>
  </w:style>
  <w:style w:type="paragraph" w:styleId="Footer">
    <w:name w:val="footer"/>
    <w:basedOn w:val="Normal"/>
    <w:link w:val="FooterChar"/>
    <w:uiPriority w:val="99"/>
    <w:unhideWhenUsed/>
    <w:rsid w:val="00B10BEA"/>
    <w:pPr>
      <w:tabs>
        <w:tab w:val="center" w:pos="4513"/>
        <w:tab w:val="right" w:pos="9026"/>
      </w:tabs>
    </w:pPr>
  </w:style>
  <w:style w:type="character" w:customStyle="1" w:styleId="FooterChar">
    <w:name w:val="Footer Char"/>
    <w:basedOn w:val="DefaultParagraphFont"/>
    <w:link w:val="Footer"/>
    <w:uiPriority w:val="99"/>
    <w:locked/>
    <w:rsid w:val="00B10BEA"/>
    <w:rPr>
      <w:rFonts w:cs="Arial Unicode MS"/>
      <w:color w:val="000000"/>
      <w:lang w:val="en-US" w:eastAsia="en-US"/>
    </w:rPr>
  </w:style>
  <w:style w:type="paragraph" w:styleId="Header">
    <w:name w:val="header"/>
    <w:basedOn w:val="Normal"/>
    <w:link w:val="HeaderChar"/>
    <w:uiPriority w:val="99"/>
    <w:unhideWhenUsed/>
    <w:rsid w:val="00B10BEA"/>
    <w:pPr>
      <w:tabs>
        <w:tab w:val="center" w:pos="4513"/>
        <w:tab w:val="right" w:pos="9026"/>
      </w:tabs>
    </w:pPr>
  </w:style>
  <w:style w:type="character" w:customStyle="1" w:styleId="HeaderChar">
    <w:name w:val="Header Char"/>
    <w:basedOn w:val="DefaultParagraphFont"/>
    <w:link w:val="Header"/>
    <w:uiPriority w:val="99"/>
    <w:locked/>
    <w:rsid w:val="00B10BEA"/>
    <w:rPr>
      <w:rFonts w:cs="Arial Unicode MS"/>
      <w:color w:val="000000"/>
      <w:lang w:val="en-US" w:eastAsia="en-US"/>
    </w:rPr>
  </w:style>
  <w:style w:type="character" w:customStyle="1" w:styleId="Bodytext895pt">
    <w:name w:val="Body text (8) + 9.5 pt"/>
    <w:aliases w:val="Not Bold,Spacing 0 pt,Body text + 9.5 pt,Heading #2 (2) + 8.5 pt,Heading #1 + 9 pt"/>
    <w:basedOn w:val="DefaultParagraphFont"/>
    <w:rsid w:val="000A74DD"/>
    <w:rPr>
      <w:rFonts w:ascii="Times New Roman" w:eastAsia="Times New Roman" w:hAnsi="Times New Roman" w:cs="Times New Roman"/>
      <w:b/>
      <w:bCs/>
      <w:i w:val="0"/>
      <w:iCs w:val="0"/>
      <w:smallCaps w:val="0"/>
      <w:strike w:val="0"/>
      <w:color w:val="000000"/>
      <w:spacing w:val="1"/>
      <w:w w:val="100"/>
      <w:position w:val="0"/>
      <w:sz w:val="19"/>
      <w:szCs w:val="19"/>
      <w:u w:val="none"/>
      <w:lang w:val="en-US"/>
    </w:rPr>
  </w:style>
</w:styles>
</file>

<file path=word/webSettings.xml><?xml version="1.0" encoding="utf-8"?>
<w:webSettings xmlns:r="http://schemas.openxmlformats.org/officeDocument/2006/relationships" xmlns:w="http://schemas.openxmlformats.org/wordprocessingml/2006/main">
  <w:divs>
    <w:div w:id="1645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5506</Words>
  <Characters>31387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6</cp:revision>
  <dcterms:created xsi:type="dcterms:W3CDTF">2019-09-23T11:19:00Z</dcterms:created>
  <dcterms:modified xsi:type="dcterms:W3CDTF">2019-12-27T02:52:00Z</dcterms:modified>
</cp:coreProperties>
</file>