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6E25" w14:textId="1E365A0C" w:rsidR="00B16819" w:rsidRPr="00BE0DAC" w:rsidRDefault="00BE0DAC" w:rsidP="00B16819">
      <w:pPr>
        <w:spacing w:after="0"/>
        <w:rPr>
          <w:rStyle w:val="Headerorfooter75pt"/>
          <w:rFonts w:ascii="Arial" w:eastAsia="Arial Unicode MS" w:hAnsi="Arial" w:cs="Arial"/>
          <w:i w:val="0"/>
          <w:iCs w:val="0"/>
          <w:color w:val="00439E"/>
          <w:spacing w:val="1"/>
          <w:sz w:val="32"/>
          <w:szCs w:val="32"/>
          <w:lang w:val="en-AU" w:eastAsia="en-AU"/>
        </w:rPr>
      </w:pPr>
      <w:r w:rsidRPr="00BE0DAC">
        <w:rPr>
          <w:rStyle w:val="Headerorfooter75pt"/>
          <w:rFonts w:ascii="Arial" w:eastAsia="Arial Unicode MS" w:hAnsi="Arial" w:cs="Arial"/>
          <w:i w:val="0"/>
          <w:iCs w:val="0"/>
          <w:color w:val="00439E"/>
          <w:spacing w:val="1"/>
          <w:sz w:val="32"/>
          <w:szCs w:val="32"/>
          <w:lang w:val="en-AU" w:eastAsia="en-AU"/>
        </w:rPr>
        <w:t>ADVANCES TO SETTLERS ACT AMENDMENT BILL 1972</w:t>
      </w:r>
    </w:p>
    <w:p w14:paraId="40C2F121" w14:textId="77777777" w:rsidR="00B16819" w:rsidRPr="00B16819" w:rsidRDefault="00B16819" w:rsidP="00B16819">
      <w:pPr>
        <w:spacing w:after="0"/>
        <w:rPr>
          <w:rFonts w:ascii="Arial" w:hAnsi="Arial" w:cs="Arial"/>
          <w:sz w:val="24"/>
          <w:szCs w:val="24"/>
        </w:rPr>
      </w:pPr>
    </w:p>
    <w:p w14:paraId="52959E00" w14:textId="5D58BAD8" w:rsidR="00B16819" w:rsidRPr="00BE0DAC" w:rsidRDefault="00B16819" w:rsidP="00B16819">
      <w:pPr>
        <w:spacing w:after="0"/>
        <w:rPr>
          <w:rStyle w:val="Headerorfooter75pt"/>
          <w:rFonts w:ascii="Arial" w:eastAsia="Arial Unicode MS" w:hAnsi="Arial" w:cs="Arial"/>
          <w:i w:val="0"/>
          <w:iCs w:val="0"/>
          <w:color w:val="00439E"/>
          <w:spacing w:val="1"/>
          <w:sz w:val="28"/>
          <w:szCs w:val="28"/>
          <w:lang w:val="en-AU" w:eastAsia="en-AU"/>
        </w:rPr>
      </w:pPr>
      <w:r w:rsidRPr="00BE0DAC">
        <w:rPr>
          <w:rStyle w:val="Headerorfooter75pt"/>
          <w:rFonts w:ascii="Arial" w:eastAsia="Arial Unicode MS" w:hAnsi="Arial" w:cs="Arial"/>
          <w:i w:val="0"/>
          <w:iCs w:val="0"/>
          <w:color w:val="00439E"/>
          <w:spacing w:val="1"/>
          <w:sz w:val="28"/>
          <w:szCs w:val="28"/>
          <w:lang w:val="en-AU" w:eastAsia="en-AU"/>
        </w:rPr>
        <w:t>H</w:t>
      </w:r>
      <w:r w:rsidR="00E15155">
        <w:rPr>
          <w:rStyle w:val="Headerorfooter75pt"/>
          <w:rFonts w:ascii="Arial" w:eastAsia="Arial Unicode MS" w:hAnsi="Arial" w:cs="Arial"/>
          <w:i w:val="0"/>
          <w:iCs w:val="0"/>
          <w:color w:val="00439E"/>
          <w:spacing w:val="1"/>
          <w:sz w:val="28"/>
          <w:szCs w:val="28"/>
          <w:lang w:val="en-AU" w:eastAsia="en-AU"/>
        </w:rPr>
        <w:t>ouse</w:t>
      </w:r>
      <w:r w:rsidRPr="00BE0DAC">
        <w:rPr>
          <w:rStyle w:val="Headerorfooter75pt"/>
          <w:rFonts w:ascii="Arial" w:eastAsia="Arial Unicode MS" w:hAnsi="Arial" w:cs="Arial"/>
          <w:i w:val="0"/>
          <w:iCs w:val="0"/>
          <w:color w:val="00439E"/>
          <w:spacing w:val="1"/>
          <w:sz w:val="28"/>
          <w:szCs w:val="28"/>
          <w:lang w:val="en-AU" w:eastAsia="en-AU"/>
        </w:rPr>
        <w:t xml:space="preserve"> </w:t>
      </w:r>
      <w:r w:rsidR="00E15155">
        <w:rPr>
          <w:rStyle w:val="Headerorfooter75pt"/>
          <w:rFonts w:ascii="Arial" w:eastAsia="Arial Unicode MS" w:hAnsi="Arial" w:cs="Arial"/>
          <w:i w:val="0"/>
          <w:iCs w:val="0"/>
          <w:color w:val="00439E"/>
          <w:spacing w:val="1"/>
          <w:sz w:val="28"/>
          <w:szCs w:val="28"/>
          <w:lang w:val="en-AU" w:eastAsia="en-AU"/>
        </w:rPr>
        <w:t>of</w:t>
      </w:r>
      <w:r w:rsidRPr="00BE0DAC">
        <w:rPr>
          <w:rStyle w:val="Headerorfooter75pt"/>
          <w:rFonts w:ascii="Arial" w:eastAsia="Arial Unicode MS" w:hAnsi="Arial" w:cs="Arial"/>
          <w:i w:val="0"/>
          <w:iCs w:val="0"/>
          <w:color w:val="00439E"/>
          <w:spacing w:val="1"/>
          <w:sz w:val="28"/>
          <w:szCs w:val="28"/>
          <w:lang w:val="en-AU" w:eastAsia="en-AU"/>
        </w:rPr>
        <w:t xml:space="preserve"> A</w:t>
      </w:r>
      <w:r w:rsidR="00E15155">
        <w:rPr>
          <w:rStyle w:val="Headerorfooter75pt"/>
          <w:rFonts w:ascii="Arial" w:eastAsia="Arial Unicode MS" w:hAnsi="Arial" w:cs="Arial"/>
          <w:i w:val="0"/>
          <w:iCs w:val="0"/>
          <w:color w:val="00439E"/>
          <w:spacing w:val="1"/>
          <w:sz w:val="28"/>
          <w:szCs w:val="28"/>
          <w:lang w:val="en-AU" w:eastAsia="en-AU"/>
        </w:rPr>
        <w:t>ssembly</w:t>
      </w:r>
      <w:r w:rsidRPr="00BE0DAC">
        <w:rPr>
          <w:rStyle w:val="Headerorfooter75pt"/>
          <w:rFonts w:ascii="Arial" w:eastAsia="Arial Unicode MS" w:hAnsi="Arial" w:cs="Arial"/>
          <w:i w:val="0"/>
          <w:iCs w:val="0"/>
          <w:color w:val="00439E"/>
          <w:spacing w:val="1"/>
          <w:sz w:val="28"/>
          <w:szCs w:val="28"/>
          <w:lang w:val="en-AU" w:eastAsia="en-AU"/>
        </w:rPr>
        <w:t>, 30 A</w:t>
      </w:r>
      <w:r w:rsidR="00E15155">
        <w:rPr>
          <w:rStyle w:val="Headerorfooter75pt"/>
          <w:rFonts w:ascii="Arial" w:eastAsia="Arial Unicode MS" w:hAnsi="Arial" w:cs="Arial"/>
          <w:i w:val="0"/>
          <w:iCs w:val="0"/>
          <w:color w:val="00439E"/>
          <w:spacing w:val="1"/>
          <w:sz w:val="28"/>
          <w:szCs w:val="28"/>
          <w:lang w:val="en-AU" w:eastAsia="en-AU"/>
        </w:rPr>
        <w:t>ugust</w:t>
      </w:r>
      <w:r w:rsidRPr="00BE0DAC">
        <w:rPr>
          <w:rStyle w:val="Headerorfooter75pt"/>
          <w:rFonts w:ascii="Arial" w:eastAsia="Arial Unicode MS" w:hAnsi="Arial" w:cs="Arial"/>
          <w:i w:val="0"/>
          <w:iCs w:val="0"/>
          <w:color w:val="00439E"/>
          <w:spacing w:val="1"/>
          <w:sz w:val="28"/>
          <w:szCs w:val="28"/>
          <w:lang w:val="en-AU" w:eastAsia="en-AU"/>
        </w:rPr>
        <w:t xml:space="preserve"> 1972, </w:t>
      </w:r>
      <w:r w:rsidR="00E15155">
        <w:rPr>
          <w:rStyle w:val="Headerorfooter75pt"/>
          <w:rFonts w:ascii="Arial" w:eastAsia="Arial Unicode MS" w:hAnsi="Arial" w:cs="Arial"/>
          <w:i w:val="0"/>
          <w:iCs w:val="0"/>
          <w:color w:val="00439E"/>
          <w:spacing w:val="1"/>
          <w:sz w:val="28"/>
          <w:szCs w:val="28"/>
          <w:lang w:val="en-AU" w:eastAsia="en-AU"/>
        </w:rPr>
        <w:t>page</w:t>
      </w:r>
      <w:r w:rsidRPr="00BE0DAC">
        <w:rPr>
          <w:rStyle w:val="Headerorfooter75pt"/>
          <w:rFonts w:ascii="Arial" w:eastAsia="Arial Unicode MS" w:hAnsi="Arial" w:cs="Arial"/>
          <w:i w:val="0"/>
          <w:iCs w:val="0"/>
          <w:color w:val="00439E"/>
          <w:spacing w:val="1"/>
          <w:sz w:val="28"/>
          <w:szCs w:val="28"/>
          <w:lang w:val="en-AU" w:eastAsia="en-AU"/>
        </w:rPr>
        <w:t xml:space="preserve"> 1123</w:t>
      </w:r>
    </w:p>
    <w:p w14:paraId="05E7EFE3" w14:textId="589B8E66" w:rsidR="00B16819" w:rsidRPr="00B16819" w:rsidRDefault="00B16819" w:rsidP="00B16819">
      <w:pPr>
        <w:spacing w:after="0"/>
        <w:rPr>
          <w:rFonts w:ascii="Arial" w:hAnsi="Arial" w:cs="Arial"/>
          <w:sz w:val="24"/>
          <w:szCs w:val="24"/>
        </w:rPr>
      </w:pPr>
    </w:p>
    <w:p w14:paraId="2291FA86" w14:textId="437BA2BE" w:rsidR="00B16819" w:rsidRPr="00E15155" w:rsidRDefault="00B16819" w:rsidP="00B16819">
      <w:pPr>
        <w:spacing w:after="0"/>
        <w:rPr>
          <w:rStyle w:val="Headerorfooter75pt"/>
          <w:rFonts w:ascii="Arial" w:eastAsia="Arial Unicode MS" w:hAnsi="Arial" w:cs="Arial"/>
          <w:b w:val="0"/>
          <w:bCs w:val="0"/>
          <w:i w:val="0"/>
          <w:iCs w:val="0"/>
          <w:color w:val="00439E"/>
          <w:spacing w:val="1"/>
          <w:sz w:val="28"/>
          <w:szCs w:val="28"/>
          <w:lang w:val="en-AU" w:eastAsia="en-AU"/>
        </w:rPr>
      </w:pPr>
      <w:r w:rsidRPr="00E15155">
        <w:rPr>
          <w:rStyle w:val="Headerorfooter75pt"/>
          <w:rFonts w:ascii="Arial" w:eastAsia="Arial Unicode MS" w:hAnsi="Arial" w:cs="Arial"/>
          <w:b w:val="0"/>
          <w:bCs w:val="0"/>
          <w:i w:val="0"/>
          <w:iCs w:val="0"/>
          <w:color w:val="00439E"/>
          <w:spacing w:val="1"/>
          <w:sz w:val="28"/>
          <w:szCs w:val="28"/>
          <w:lang w:val="en-AU" w:eastAsia="en-AU"/>
        </w:rPr>
        <w:t xml:space="preserve">Second </w:t>
      </w:r>
      <w:r w:rsidR="00E15155" w:rsidRPr="00E15155">
        <w:rPr>
          <w:rStyle w:val="Headerorfooter75pt"/>
          <w:rFonts w:ascii="Arial" w:eastAsia="Arial Unicode MS" w:hAnsi="Arial" w:cs="Arial"/>
          <w:b w:val="0"/>
          <w:bCs w:val="0"/>
          <w:i w:val="0"/>
          <w:iCs w:val="0"/>
          <w:color w:val="00439E"/>
          <w:spacing w:val="1"/>
          <w:sz w:val="28"/>
          <w:szCs w:val="28"/>
          <w:lang w:val="en-AU" w:eastAsia="en-AU"/>
        </w:rPr>
        <w:t>r</w:t>
      </w:r>
      <w:r w:rsidRPr="00E15155">
        <w:rPr>
          <w:rStyle w:val="Headerorfooter75pt"/>
          <w:rFonts w:ascii="Arial" w:eastAsia="Arial Unicode MS" w:hAnsi="Arial" w:cs="Arial"/>
          <w:b w:val="0"/>
          <w:bCs w:val="0"/>
          <w:i w:val="0"/>
          <w:iCs w:val="0"/>
          <w:color w:val="00439E"/>
          <w:spacing w:val="1"/>
          <w:sz w:val="28"/>
          <w:szCs w:val="28"/>
          <w:lang w:val="en-AU" w:eastAsia="en-AU"/>
        </w:rPr>
        <w:t>eading</w:t>
      </w:r>
    </w:p>
    <w:p w14:paraId="2E5E75A6" w14:textId="77777777" w:rsidR="00B16819" w:rsidRDefault="00B16819" w:rsidP="00B16819">
      <w:pPr>
        <w:spacing w:after="0"/>
        <w:rPr>
          <w:rFonts w:ascii="Arial" w:hAnsi="Arial" w:cs="Arial"/>
          <w:sz w:val="24"/>
          <w:szCs w:val="24"/>
        </w:rPr>
      </w:pPr>
    </w:p>
    <w:p w14:paraId="705541E3" w14:textId="791F1F72" w:rsidR="00BE0DAC" w:rsidRDefault="00B16819" w:rsidP="00B16819">
      <w:pPr>
        <w:spacing w:after="0"/>
        <w:rPr>
          <w:rFonts w:ascii="Arial" w:hAnsi="Arial" w:cs="Arial"/>
          <w:sz w:val="24"/>
          <w:szCs w:val="24"/>
        </w:rPr>
      </w:pPr>
      <w:r w:rsidRPr="00E15155">
        <w:rPr>
          <w:rFonts w:ascii="Arial" w:hAnsi="Arial" w:cs="Arial"/>
          <w:b/>
          <w:bCs/>
          <w:sz w:val="24"/>
          <w:szCs w:val="24"/>
        </w:rPr>
        <w:t>The Hon. D. A. DUNSTAN (Premier and Treasurer)</w:t>
      </w:r>
      <w:r w:rsidRPr="00B16819">
        <w:rPr>
          <w:rFonts w:ascii="Arial" w:hAnsi="Arial" w:cs="Arial"/>
          <w:sz w:val="24"/>
          <w:szCs w:val="24"/>
        </w:rPr>
        <w:t xml:space="preserve"> obtained leave and introduced a Bill for an Act to amend the Advances to Settlers Act, 1930-1970.</w:t>
      </w:r>
      <w:r w:rsidR="00E15155">
        <w:rPr>
          <w:rFonts w:ascii="Arial" w:hAnsi="Arial" w:cs="Arial"/>
          <w:sz w:val="24"/>
          <w:szCs w:val="24"/>
        </w:rPr>
        <w:t xml:space="preserve"> </w:t>
      </w:r>
      <w:r w:rsidRPr="00B16819">
        <w:rPr>
          <w:rFonts w:ascii="Arial" w:hAnsi="Arial" w:cs="Arial"/>
          <w:sz w:val="24"/>
          <w:szCs w:val="24"/>
        </w:rPr>
        <w:t xml:space="preserve"> Read a first time. </w:t>
      </w:r>
    </w:p>
    <w:p w14:paraId="19248A6B" w14:textId="77777777" w:rsidR="00BE0DAC" w:rsidRDefault="00BE0DAC" w:rsidP="00B16819">
      <w:pPr>
        <w:spacing w:after="0"/>
        <w:rPr>
          <w:rFonts w:ascii="Arial" w:hAnsi="Arial" w:cs="Arial"/>
          <w:sz w:val="24"/>
          <w:szCs w:val="24"/>
        </w:rPr>
      </w:pPr>
    </w:p>
    <w:p w14:paraId="696BC6D1" w14:textId="77777777" w:rsidR="00BE0DAC" w:rsidRDefault="00B16819" w:rsidP="00B16819">
      <w:pPr>
        <w:spacing w:after="0"/>
        <w:rPr>
          <w:rFonts w:ascii="Arial" w:hAnsi="Arial" w:cs="Arial"/>
          <w:sz w:val="24"/>
          <w:szCs w:val="24"/>
        </w:rPr>
      </w:pPr>
      <w:r w:rsidRPr="00B16819">
        <w:rPr>
          <w:rFonts w:ascii="Arial" w:hAnsi="Arial" w:cs="Arial"/>
          <w:sz w:val="24"/>
          <w:szCs w:val="24"/>
        </w:rPr>
        <w:t xml:space="preserve">The Hon. D. A. DUNSTAN: I move: </w:t>
      </w:r>
    </w:p>
    <w:p w14:paraId="1BEB08C7" w14:textId="77777777" w:rsidR="00BE0DAC" w:rsidRDefault="00B16819" w:rsidP="00B16819">
      <w:pPr>
        <w:spacing w:after="0"/>
        <w:rPr>
          <w:rFonts w:ascii="Arial" w:hAnsi="Arial" w:cs="Arial"/>
          <w:sz w:val="24"/>
          <w:szCs w:val="24"/>
        </w:rPr>
      </w:pPr>
      <w:r w:rsidRPr="00BE0DAC">
        <w:rPr>
          <w:rFonts w:ascii="Arial" w:hAnsi="Arial" w:cs="Arial"/>
          <w:i/>
          <w:iCs/>
          <w:sz w:val="24"/>
          <w:szCs w:val="24"/>
        </w:rPr>
        <w:t>That this Bill be now read a second time.</w:t>
      </w:r>
      <w:r w:rsidRPr="00B16819">
        <w:rPr>
          <w:rFonts w:ascii="Arial" w:hAnsi="Arial" w:cs="Arial"/>
          <w:sz w:val="24"/>
          <w:szCs w:val="24"/>
        </w:rPr>
        <w:t xml:space="preserve"> </w:t>
      </w:r>
    </w:p>
    <w:p w14:paraId="36805A0D" w14:textId="77777777" w:rsidR="00BE0DAC" w:rsidRDefault="00BE0DAC" w:rsidP="00B16819">
      <w:pPr>
        <w:spacing w:after="0"/>
        <w:rPr>
          <w:rFonts w:ascii="Arial" w:hAnsi="Arial" w:cs="Arial"/>
          <w:sz w:val="24"/>
          <w:szCs w:val="24"/>
        </w:rPr>
      </w:pPr>
    </w:p>
    <w:p w14:paraId="6749BDD3" w14:textId="08476836" w:rsidR="00B16819" w:rsidRPr="00B16819" w:rsidRDefault="00B16819" w:rsidP="00B16819">
      <w:pPr>
        <w:spacing w:after="0"/>
        <w:rPr>
          <w:rFonts w:ascii="Arial" w:hAnsi="Arial" w:cs="Arial"/>
          <w:sz w:val="24"/>
          <w:szCs w:val="24"/>
        </w:rPr>
      </w:pPr>
      <w:r w:rsidRPr="00B16819">
        <w:rPr>
          <w:rFonts w:ascii="Arial" w:hAnsi="Arial" w:cs="Arial"/>
          <w:sz w:val="24"/>
          <w:szCs w:val="24"/>
        </w:rPr>
        <w:t xml:space="preserve">The principal Act authorizes the making of an advance presently limited to an advance of $9,000 for the purpose of erecting, </w:t>
      </w:r>
      <w:proofErr w:type="gramStart"/>
      <w:r w:rsidRPr="00B16819">
        <w:rPr>
          <w:rFonts w:ascii="Arial" w:hAnsi="Arial" w:cs="Arial"/>
          <w:sz w:val="24"/>
          <w:szCs w:val="24"/>
        </w:rPr>
        <w:t>enlarging</w:t>
      </w:r>
      <w:proofErr w:type="gramEnd"/>
      <w:r w:rsidRPr="00B16819">
        <w:rPr>
          <w:rFonts w:ascii="Arial" w:hAnsi="Arial" w:cs="Arial"/>
          <w:sz w:val="24"/>
          <w:szCs w:val="24"/>
        </w:rPr>
        <w:t xml:space="preserve"> or altering a dwellinghouse on the holding of a person who is a “settler” within the meaning of the Act. </w:t>
      </w:r>
      <w:r w:rsidR="00E15155">
        <w:rPr>
          <w:rFonts w:ascii="Arial" w:hAnsi="Arial" w:cs="Arial"/>
          <w:sz w:val="24"/>
          <w:szCs w:val="24"/>
        </w:rPr>
        <w:t xml:space="preserve"> </w:t>
      </w:r>
      <w:r w:rsidRPr="00B16819">
        <w:rPr>
          <w:rFonts w:ascii="Arial" w:hAnsi="Arial" w:cs="Arial"/>
          <w:sz w:val="24"/>
          <w:szCs w:val="24"/>
        </w:rPr>
        <w:t xml:space="preserve">Since it has been decided that the maximum loans which may be made by the State Bank for ordinary housing purposes is to be increased to $10,000, it appears equitable that the maximum loan under the principal Act for settlers should also be set at $10,000. </w:t>
      </w:r>
      <w:r w:rsidR="00E15155">
        <w:rPr>
          <w:rFonts w:ascii="Arial" w:hAnsi="Arial" w:cs="Arial"/>
          <w:sz w:val="24"/>
          <w:szCs w:val="24"/>
        </w:rPr>
        <w:t xml:space="preserve"> </w:t>
      </w:r>
      <w:r w:rsidRPr="00B16819">
        <w:rPr>
          <w:rFonts w:ascii="Arial" w:hAnsi="Arial" w:cs="Arial"/>
          <w:sz w:val="24"/>
          <w:szCs w:val="24"/>
        </w:rPr>
        <w:t xml:space="preserve">Accordingly, this short Bill provides for this increase. </w:t>
      </w:r>
      <w:r w:rsidR="00E15155">
        <w:rPr>
          <w:rFonts w:ascii="Arial" w:hAnsi="Arial" w:cs="Arial"/>
          <w:sz w:val="24"/>
          <w:szCs w:val="24"/>
        </w:rPr>
        <w:t xml:space="preserve"> </w:t>
      </w:r>
      <w:r w:rsidRPr="00B16819">
        <w:rPr>
          <w:rFonts w:ascii="Arial" w:hAnsi="Arial" w:cs="Arial"/>
          <w:sz w:val="24"/>
          <w:szCs w:val="24"/>
        </w:rPr>
        <w:t xml:space="preserve">However, since it is possible that the maximum amount that can be lent by the State Bank for ordinary housing purposes may be determined by the Treasurer, it appears desirable that some additional flexibility should be provided in the Advances to Settlers Act so that any increase that may be made for ordinary housing can be reflected in the Advances to Settlers Act without the necessity of legislative amendment. </w:t>
      </w:r>
      <w:r w:rsidR="00E15155">
        <w:rPr>
          <w:rFonts w:ascii="Arial" w:hAnsi="Arial" w:cs="Arial"/>
          <w:sz w:val="24"/>
          <w:szCs w:val="24"/>
        </w:rPr>
        <w:t xml:space="preserve"> </w:t>
      </w:r>
      <w:r w:rsidRPr="00B16819">
        <w:rPr>
          <w:rFonts w:ascii="Arial" w:hAnsi="Arial" w:cs="Arial"/>
          <w:sz w:val="24"/>
          <w:szCs w:val="24"/>
        </w:rPr>
        <w:t xml:space="preserve">It is proposed that the maximum amount will in future be varied by proclamation. </w:t>
      </w:r>
      <w:r w:rsidR="00E15155">
        <w:rPr>
          <w:rFonts w:ascii="Arial" w:hAnsi="Arial" w:cs="Arial"/>
          <w:sz w:val="24"/>
          <w:szCs w:val="24"/>
        </w:rPr>
        <w:t xml:space="preserve"> </w:t>
      </w:r>
      <w:r w:rsidRPr="00B16819">
        <w:rPr>
          <w:rFonts w:ascii="Arial" w:hAnsi="Arial" w:cs="Arial"/>
          <w:sz w:val="24"/>
          <w:szCs w:val="24"/>
        </w:rPr>
        <w:t>Clause 1 is formal.</w:t>
      </w:r>
      <w:r w:rsidR="00E15155">
        <w:rPr>
          <w:rFonts w:ascii="Arial" w:hAnsi="Arial" w:cs="Arial"/>
          <w:sz w:val="24"/>
          <w:szCs w:val="24"/>
        </w:rPr>
        <w:t xml:space="preserve"> </w:t>
      </w:r>
      <w:r w:rsidRPr="00B16819">
        <w:rPr>
          <w:rFonts w:ascii="Arial" w:hAnsi="Arial" w:cs="Arial"/>
          <w:sz w:val="24"/>
          <w:szCs w:val="24"/>
        </w:rPr>
        <w:t xml:space="preserve"> Clause 2 amends section 12a of the principal Act which relates to the provision of advances for </w:t>
      </w:r>
      <w:proofErr w:type="gramStart"/>
      <w:r w:rsidRPr="00B16819">
        <w:rPr>
          <w:rFonts w:ascii="Arial" w:hAnsi="Arial" w:cs="Arial"/>
          <w:sz w:val="24"/>
          <w:szCs w:val="24"/>
        </w:rPr>
        <w:t>dwellinghouses</w:t>
      </w:r>
      <w:proofErr w:type="gramEnd"/>
      <w:r w:rsidRPr="00B16819">
        <w:rPr>
          <w:rFonts w:ascii="Arial" w:hAnsi="Arial" w:cs="Arial"/>
          <w:sz w:val="24"/>
          <w:szCs w:val="24"/>
        </w:rPr>
        <w:t xml:space="preserve"> and the amendments proposed provide (a) that the maximum advance will be increased from $9,000 to $10,000; and (6) by the insertion of proposed subsection (2a), that in future the maximum advance that can be made under this Act may be varied by a proclamation. </w:t>
      </w:r>
      <w:r w:rsidR="00E15155">
        <w:rPr>
          <w:rFonts w:ascii="Arial" w:hAnsi="Arial" w:cs="Arial"/>
          <w:sz w:val="24"/>
          <w:szCs w:val="24"/>
        </w:rPr>
        <w:t xml:space="preserve"> </w:t>
      </w:r>
      <w:r w:rsidRPr="00B16819">
        <w:rPr>
          <w:rFonts w:ascii="Arial" w:hAnsi="Arial" w:cs="Arial"/>
          <w:sz w:val="24"/>
          <w:szCs w:val="24"/>
        </w:rPr>
        <w:t xml:space="preserve">This latter amendment should ensure appropriate flexibility. </w:t>
      </w:r>
    </w:p>
    <w:p w14:paraId="25B2D4D4" w14:textId="77777777" w:rsidR="00B16819" w:rsidRPr="00B16819" w:rsidRDefault="00B16819" w:rsidP="00B16819">
      <w:pPr>
        <w:spacing w:after="0"/>
        <w:rPr>
          <w:rFonts w:ascii="Arial" w:hAnsi="Arial" w:cs="Arial"/>
          <w:sz w:val="24"/>
          <w:szCs w:val="24"/>
        </w:rPr>
      </w:pPr>
    </w:p>
    <w:p w14:paraId="41E869C8" w14:textId="13044409" w:rsidR="002413F6" w:rsidRPr="00B16819" w:rsidRDefault="00B16819" w:rsidP="00B16819">
      <w:pPr>
        <w:spacing w:after="0"/>
        <w:rPr>
          <w:rFonts w:ascii="Arial" w:hAnsi="Arial" w:cs="Arial"/>
          <w:sz w:val="24"/>
          <w:szCs w:val="24"/>
        </w:rPr>
      </w:pPr>
      <w:r w:rsidRPr="00B16819">
        <w:rPr>
          <w:rFonts w:ascii="Arial" w:hAnsi="Arial" w:cs="Arial"/>
          <w:sz w:val="24"/>
          <w:szCs w:val="24"/>
        </w:rPr>
        <w:t xml:space="preserve">Mr. MATHWIN secured the adjournment of the debate. </w:t>
      </w:r>
    </w:p>
    <w:sectPr w:rsidR="002413F6" w:rsidRPr="00B16819" w:rsidSect="00B16819">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D2FF" w14:textId="77777777" w:rsidR="00E15155" w:rsidRDefault="00E15155" w:rsidP="00E15155">
      <w:pPr>
        <w:spacing w:after="0" w:line="240" w:lineRule="auto"/>
      </w:pPr>
      <w:r>
        <w:separator/>
      </w:r>
    </w:p>
  </w:endnote>
  <w:endnote w:type="continuationSeparator" w:id="0">
    <w:p w14:paraId="1B2C6448" w14:textId="77777777" w:rsidR="00E15155" w:rsidRDefault="00E15155" w:rsidP="00E1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CF31" w14:textId="77777777" w:rsidR="00E15155" w:rsidRPr="00E15155" w:rsidRDefault="00E15155" w:rsidP="00E15155">
    <w:pPr>
      <w:pStyle w:val="Footer"/>
      <w:jc w:val="right"/>
      <w:rPr>
        <w:color w:val="365F91" w:themeColor="accent1" w:themeShade="BF"/>
        <w:lang w:val="en-US"/>
      </w:rPr>
    </w:pPr>
    <w:r w:rsidRPr="00E15155">
      <w:rPr>
        <w:rFonts w:hint="eastAsia"/>
        <w:color w:val="365F91" w:themeColor="accent1" w:themeShade="BF"/>
        <w:lang w:val="en-US"/>
      </w:rPr>
      <w:t>History of Agriculture South Australia</w:t>
    </w:r>
  </w:p>
  <w:p w14:paraId="634B9DB2" w14:textId="77777777" w:rsidR="00E15155" w:rsidRDefault="00E1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BBAD" w14:textId="77777777" w:rsidR="00E15155" w:rsidRDefault="00E15155" w:rsidP="00E15155">
      <w:pPr>
        <w:spacing w:after="0" w:line="240" w:lineRule="auto"/>
      </w:pPr>
      <w:r>
        <w:separator/>
      </w:r>
    </w:p>
  </w:footnote>
  <w:footnote w:type="continuationSeparator" w:id="0">
    <w:p w14:paraId="416ABA45" w14:textId="77777777" w:rsidR="00E15155" w:rsidRDefault="00E15155" w:rsidP="00E151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19"/>
    <w:rsid w:val="002413F6"/>
    <w:rsid w:val="00620BE3"/>
    <w:rsid w:val="00B16819"/>
    <w:rsid w:val="00BE0DAC"/>
    <w:rsid w:val="00E15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E283"/>
  <w15:chartTrackingRefBased/>
  <w15:docId w15:val="{D0EC877E-13E3-4A0F-819B-5CF7548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BE0DAC"/>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E15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155"/>
  </w:style>
  <w:style w:type="paragraph" w:styleId="Footer">
    <w:name w:val="footer"/>
    <w:basedOn w:val="Normal"/>
    <w:link w:val="FooterChar"/>
    <w:uiPriority w:val="99"/>
    <w:unhideWhenUsed/>
    <w:rsid w:val="00E15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2021-12-13T09:28:00Z</dcterms:created>
  <dcterms:modified xsi:type="dcterms:W3CDTF">2021-12-14T23:07:00Z</dcterms:modified>
</cp:coreProperties>
</file>