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5E3" w:rsidRPr="00E02738" w:rsidRDefault="007D4179" w:rsidP="00E02738">
      <w:pPr>
        <w:pStyle w:val="Heading1"/>
        <w:spacing w:line="360" w:lineRule="auto"/>
        <w:rPr>
          <w:rFonts w:ascii="Arial" w:eastAsia="Arial" w:hAnsi="Arial" w:cs="Arial"/>
          <w:color w:val="1C4587"/>
          <w:sz w:val="32"/>
          <w:szCs w:val="32"/>
        </w:rPr>
      </w:pPr>
      <w:r>
        <w:rPr>
          <w:rFonts w:ascii="Arial" w:eastAsia="Arial" w:hAnsi="Arial" w:cs="Arial"/>
          <w:color w:val="1C4587"/>
          <w:sz w:val="32"/>
          <w:szCs w:val="32"/>
        </w:rPr>
        <w:t>AGRICULTURAL CHEMICALS BILL</w:t>
      </w:r>
      <w:r w:rsidR="00D51D42" w:rsidRPr="00A545E3">
        <w:rPr>
          <w:rFonts w:ascii="Arial" w:eastAsia="Arial" w:hAnsi="Arial" w:cs="Arial"/>
          <w:color w:val="1C4587"/>
          <w:sz w:val="32"/>
          <w:szCs w:val="32"/>
        </w:rPr>
        <w:t xml:space="preserve"> 1955</w:t>
      </w:r>
    </w:p>
    <w:p w:rsidR="0001656A" w:rsidRDefault="00E02738" w:rsidP="00E02738">
      <w:pPr>
        <w:pStyle w:val="normal0"/>
        <w:spacing w:line="360" w:lineRule="auto"/>
        <w:rPr>
          <w:rFonts w:ascii="Arial" w:eastAsia="Arial" w:hAnsi="Arial" w:cs="Arial"/>
          <w:b/>
          <w:color w:val="1C4587"/>
          <w:sz w:val="28"/>
          <w:szCs w:val="28"/>
        </w:rPr>
      </w:pPr>
      <w:r>
        <w:rPr>
          <w:rFonts w:ascii="Arial" w:eastAsia="Arial" w:hAnsi="Arial" w:cs="Arial"/>
          <w:b/>
          <w:color w:val="1C4587"/>
          <w:sz w:val="28"/>
          <w:szCs w:val="28"/>
        </w:rPr>
        <w:t>Legislative Council</w:t>
      </w:r>
      <w:r w:rsidR="00A545E3">
        <w:rPr>
          <w:rFonts w:ascii="Arial" w:eastAsia="Arial" w:hAnsi="Arial" w:cs="Arial"/>
          <w:b/>
          <w:color w:val="1C4587"/>
          <w:sz w:val="28"/>
          <w:szCs w:val="28"/>
        </w:rPr>
        <w:t>, 16 November 1955</w:t>
      </w:r>
      <w:r w:rsidR="00D51D42">
        <w:rPr>
          <w:rFonts w:ascii="Arial" w:eastAsia="Arial" w:hAnsi="Arial" w:cs="Arial"/>
          <w:b/>
          <w:color w:val="1C4587"/>
          <w:sz w:val="28"/>
          <w:szCs w:val="28"/>
        </w:rPr>
        <w:t>, page 1626</w:t>
      </w:r>
      <w:r w:rsidR="00A545E3">
        <w:rPr>
          <w:rFonts w:ascii="Arial" w:eastAsia="Arial" w:hAnsi="Arial" w:cs="Arial"/>
          <w:b/>
          <w:color w:val="1C4587"/>
          <w:sz w:val="28"/>
          <w:szCs w:val="28"/>
        </w:rPr>
        <w:t>-30</w:t>
      </w:r>
    </w:p>
    <w:p w:rsidR="0001656A" w:rsidRDefault="00A545E3" w:rsidP="00E02738">
      <w:pPr>
        <w:pStyle w:val="Heading2"/>
        <w:spacing w:line="360" w:lineRule="auto"/>
        <w:rPr>
          <w:rFonts w:ascii="Arial" w:eastAsia="Arial" w:hAnsi="Arial" w:cs="Arial"/>
          <w:color w:val="1C4587"/>
          <w:sz w:val="28"/>
          <w:szCs w:val="28"/>
        </w:rPr>
      </w:pPr>
      <w:r>
        <w:rPr>
          <w:rFonts w:ascii="Arial" w:eastAsia="Arial" w:hAnsi="Arial" w:cs="Arial"/>
          <w:color w:val="1C4587"/>
          <w:sz w:val="28"/>
          <w:szCs w:val="28"/>
        </w:rPr>
        <w:t>Second reading</w:t>
      </w:r>
    </w:p>
    <w:p w:rsidR="0001656A" w:rsidRDefault="0001656A">
      <w:pPr>
        <w:pStyle w:val="normal0"/>
        <w:rPr>
          <w:rFonts w:ascii="Arial" w:eastAsia="Arial" w:hAnsi="Arial" w:cs="Arial"/>
          <w:sz w:val="24"/>
          <w:szCs w:val="24"/>
        </w:rPr>
      </w:pPr>
    </w:p>
    <w:p w:rsidR="0001656A" w:rsidRDefault="00D51D42">
      <w:pPr>
        <w:pStyle w:val="normal0"/>
        <w:spacing w:before="120" w:after="120"/>
        <w:rPr>
          <w:rFonts w:ascii="Arial" w:eastAsia="Arial" w:hAnsi="Arial" w:cs="Arial"/>
          <w:sz w:val="24"/>
          <w:szCs w:val="24"/>
        </w:rPr>
      </w:pPr>
      <w:r>
        <w:rPr>
          <w:rFonts w:ascii="Arial" w:eastAsia="Arial" w:hAnsi="Arial" w:cs="Arial"/>
          <w:sz w:val="24"/>
          <w:szCs w:val="24"/>
        </w:rPr>
        <w:t>Received from the House of Assembly and read a first time.</w:t>
      </w:r>
    </w:p>
    <w:p w:rsidR="0001656A" w:rsidRDefault="00D51D42">
      <w:pPr>
        <w:pStyle w:val="normal0"/>
        <w:spacing w:before="120" w:after="120"/>
        <w:rPr>
          <w:rFonts w:ascii="Arial" w:eastAsia="Arial" w:hAnsi="Arial" w:cs="Arial"/>
          <w:sz w:val="24"/>
          <w:szCs w:val="24"/>
        </w:rPr>
      </w:pPr>
      <w:r w:rsidRPr="00E02738">
        <w:rPr>
          <w:rFonts w:ascii="Arial" w:eastAsia="Arial" w:hAnsi="Arial" w:cs="Arial"/>
          <w:b/>
          <w:sz w:val="24"/>
          <w:szCs w:val="24"/>
        </w:rPr>
        <w:t>The Hon. Sir LYELL McEWIN (Chief Secretary)—</w:t>
      </w:r>
      <w:r>
        <w:rPr>
          <w:rFonts w:ascii="Arial" w:eastAsia="Arial" w:hAnsi="Arial" w:cs="Arial"/>
          <w:sz w:val="24"/>
          <w:szCs w:val="24"/>
        </w:rPr>
        <w:t>I move—</w:t>
      </w:r>
    </w:p>
    <w:p w:rsidR="0001656A" w:rsidRDefault="00D51D42">
      <w:pPr>
        <w:pStyle w:val="normal0"/>
        <w:spacing w:before="120" w:after="120"/>
        <w:rPr>
          <w:rFonts w:ascii="Arial" w:eastAsia="Arial" w:hAnsi="Arial" w:cs="Arial"/>
          <w:sz w:val="24"/>
          <w:szCs w:val="24"/>
        </w:rPr>
      </w:pPr>
      <w:r>
        <w:rPr>
          <w:rFonts w:ascii="Arial" w:eastAsia="Arial" w:hAnsi="Arial" w:cs="Arial"/>
          <w:sz w:val="24"/>
          <w:szCs w:val="24"/>
        </w:rPr>
        <w:t>That this Bill be now read a second time.</w:t>
      </w:r>
    </w:p>
    <w:p w:rsidR="0001656A" w:rsidRDefault="00D51D42">
      <w:pPr>
        <w:pStyle w:val="normal0"/>
        <w:spacing w:before="120" w:after="120"/>
        <w:rPr>
          <w:rFonts w:ascii="Arial" w:eastAsia="Arial" w:hAnsi="Arial" w:cs="Arial"/>
          <w:sz w:val="24"/>
          <w:szCs w:val="24"/>
        </w:rPr>
      </w:pPr>
      <w:r>
        <w:rPr>
          <w:rFonts w:ascii="Arial" w:eastAsia="Arial" w:hAnsi="Arial" w:cs="Arial"/>
          <w:sz w:val="24"/>
          <w:szCs w:val="24"/>
        </w:rPr>
        <w:t>Its object is to regulate the sale of agricultural chemicals. At present the sale of fertilizers is regulated by the Fertilizer Act, and the sale of fungicides, insecticides and vermin destroyers by the Pest Destroyers Act. These are no longer adequate for present day requirements.</w:t>
      </w:r>
    </w:p>
    <w:p w:rsidR="0001656A" w:rsidRDefault="00D51D42">
      <w:pPr>
        <w:pStyle w:val="normal0"/>
        <w:spacing w:before="120" w:after="120"/>
        <w:rPr>
          <w:rFonts w:ascii="Arial" w:eastAsia="Arial" w:hAnsi="Arial" w:cs="Arial"/>
          <w:sz w:val="24"/>
          <w:szCs w:val="24"/>
        </w:rPr>
      </w:pPr>
      <w:r>
        <w:rPr>
          <w:rFonts w:ascii="Arial" w:eastAsia="Arial" w:hAnsi="Arial" w:cs="Arial"/>
          <w:sz w:val="24"/>
          <w:szCs w:val="24"/>
        </w:rPr>
        <w:t>First, the number of agricultural chemicals on the market multiplies almost daily and the present legislation does not apply to many of the new products. Thus, the present legislation does not apply to trace elements, plant hormones or weedkillers. In the interests of the public it is desirable that the sale of these substances should be regulated. Trace elements are used for the purpose of correcting soil deficiencies and their importance is well known. The plant hormones are used principally for the prevention of fruit drop and for the promotion of fruit setting and are of increasing importance. Weedkillers are becoming very widely used in agriculture. Crop spraying in particular is becoming a common practice. It is important for both farmers and the general public that these agricultural chemicals should be of proper quality and efficacious for the purposes for which it is claimed they can be used. For example, it is desirable that trace elements should be properly mixed with the substances with which they are to be spread. The Government’s attention has been drawn to the fact that trace elements are in instances not properly compounded with the substances with which they are sold. Also it is doubtful whether the Fertilizers Act applies to foliar fertilizers. It is desirable that foliar fertilizers should be under the same control as other fertilizers, and that doubt about the matter should be removed.</w:t>
      </w:r>
    </w:p>
    <w:p w:rsidR="0001656A" w:rsidRDefault="00D51D42">
      <w:pPr>
        <w:pStyle w:val="normal0"/>
        <w:spacing w:before="120" w:after="120"/>
        <w:rPr>
          <w:rFonts w:ascii="Arial" w:eastAsia="Arial" w:hAnsi="Arial" w:cs="Arial"/>
          <w:sz w:val="24"/>
          <w:szCs w:val="24"/>
        </w:rPr>
      </w:pPr>
      <w:r>
        <w:rPr>
          <w:rFonts w:ascii="Arial" w:eastAsia="Arial" w:hAnsi="Arial" w:cs="Arial"/>
          <w:sz w:val="24"/>
          <w:szCs w:val="24"/>
        </w:rPr>
        <w:t xml:space="preserve">Second, the present Acts do not make adequate provision to prevent the sale of substances under misleading names, or false, misleading or indefinite descriptions. The Fertilizers Act provides for the licensing of fertilizers, and the Pest Destroyers Act for the registration of pest destroyers. The procedure in both cases which, for convenience, I will refer to as registration, is automatic. On the making of an application in due form registration cannot be refused. This means that an application may be made for the registration of a substance under a name which indicates that it contains specified </w:t>
      </w:r>
      <w:r>
        <w:rPr>
          <w:rFonts w:ascii="Arial" w:eastAsia="Arial" w:hAnsi="Arial" w:cs="Arial"/>
          <w:sz w:val="24"/>
          <w:szCs w:val="24"/>
        </w:rPr>
        <w:lastRenderedPageBreak/>
        <w:t>ingredients, when, in fact, it does not contain them. Thus, substance which are not bordeaux powder are registered as ''Bordo'' and "Bordacide," and substances which are not copper carbonate registered as "Copper Carbonate.'' A substance was also at one time registered "Derridust" which did not, in fact, contain any derris. ("Derridust'' now in fact contains derris.) Similarly, if a false description of the composition of a substance is given on an application for registration, registration must still be granted. It is true that a person who sold the substance could be prosecuted for giving a false description of the substance if he repeated the description on a label under which he sold the substance, but it is unsatisfactory that registration should be granted in the first place. A further difficulty arises under the Pest Destroyers Act. While under fertilizers Act particulars of the quantities of the chemicals specifically mentioned in the Act must be furnished, the Pest Destroyers Act merely requires percentages of the substances which are claimed to be active constituents to be set out. The manner in which the active constituents must be stated is not regulated. This means that there is no way of preventing indefinite descriptions which have no specific chemical meaning from being supplied and used. Thus the expressions "chlorinated benzene,'' "hydrocarbon oils" and "essential oils" are expressions in use which have no specific meaning. Descriptions may also be inadequate. Thus there is no necessity to disclose the isomer content of B.H.C. or D.D.T. The isomer content is relevant to the effectiveness of those chemicals.</w:t>
      </w:r>
    </w:p>
    <w:p w:rsidR="0001656A" w:rsidRDefault="00D51D42">
      <w:pPr>
        <w:pStyle w:val="normal0"/>
        <w:spacing w:before="120" w:after="120"/>
        <w:rPr>
          <w:rFonts w:ascii="Arial" w:eastAsia="Arial" w:hAnsi="Arial" w:cs="Arial"/>
          <w:sz w:val="24"/>
          <w:szCs w:val="24"/>
        </w:rPr>
      </w:pPr>
      <w:r>
        <w:rPr>
          <w:rFonts w:ascii="Arial" w:eastAsia="Arial" w:hAnsi="Arial" w:cs="Arial"/>
          <w:sz w:val="24"/>
          <w:szCs w:val="24"/>
        </w:rPr>
        <w:t>Third, there is no method under the present Acts of preventing the marketing of substances the use of which might cause injury to health, or substances which are not really effective for the uses to which it is claimed they can be put. The many now developments in agricultural chemicals make it necessary that measures should be taken for the protection of public health and to prevent substantially useless substances being passed off on the public.</w:t>
      </w:r>
    </w:p>
    <w:p w:rsidR="0001656A" w:rsidRDefault="00D51D42">
      <w:pPr>
        <w:pStyle w:val="normal0"/>
        <w:spacing w:before="120" w:after="120"/>
        <w:rPr>
          <w:rFonts w:ascii="Arial" w:eastAsia="Arial" w:hAnsi="Arial" w:cs="Arial"/>
          <w:sz w:val="24"/>
          <w:szCs w:val="24"/>
        </w:rPr>
      </w:pPr>
      <w:r>
        <w:rPr>
          <w:rFonts w:ascii="Arial" w:eastAsia="Arial" w:hAnsi="Arial" w:cs="Arial"/>
          <w:sz w:val="24"/>
          <w:szCs w:val="24"/>
        </w:rPr>
        <w:t>Fourthly there is no power under existing legislation to cancel the registration of any substance. The whole subject has been carefully investigated by a departmental committee which has recommended that the existing Acts be repealed and replaced by a single Act.</w:t>
      </w:r>
    </w:p>
    <w:p w:rsidR="0001656A" w:rsidRDefault="00D51D42">
      <w:pPr>
        <w:pStyle w:val="normal0"/>
        <w:spacing w:before="120" w:after="120"/>
        <w:rPr>
          <w:rFonts w:ascii="Arial" w:eastAsia="Arial" w:hAnsi="Arial" w:cs="Arial"/>
          <w:sz w:val="24"/>
          <w:szCs w:val="24"/>
        </w:rPr>
      </w:pPr>
      <w:r>
        <w:rPr>
          <w:rFonts w:ascii="Arial" w:eastAsia="Arial" w:hAnsi="Arial" w:cs="Arial"/>
          <w:sz w:val="24"/>
          <w:szCs w:val="24"/>
        </w:rPr>
        <w:t>This would have two advantages. First, it would simplify the administration of the legislation, and second, it would avoid the necessity of registering a substance under more than one Act. There are a number of substances which serve more than one purpose and at present have to be registered under both Acts. The Government has decided, after giving the matter full consideration, to adopt the recommendation of the Committee that the existing legislation should be repealed and replaced by a single Act under which the sale of all types of agricultural chemicals would be controlled. The Government  is accordingly introducing this Bill.</w:t>
      </w:r>
    </w:p>
    <w:p w:rsidR="0001656A" w:rsidRDefault="00D51D42">
      <w:pPr>
        <w:pStyle w:val="normal0"/>
        <w:spacing w:before="120" w:after="120"/>
        <w:rPr>
          <w:rFonts w:ascii="Arial" w:eastAsia="Arial" w:hAnsi="Arial" w:cs="Arial"/>
          <w:sz w:val="24"/>
          <w:szCs w:val="24"/>
        </w:rPr>
      </w:pPr>
      <w:r>
        <w:rPr>
          <w:rFonts w:ascii="Arial" w:eastAsia="Arial" w:hAnsi="Arial" w:cs="Arial"/>
          <w:sz w:val="24"/>
          <w:szCs w:val="24"/>
        </w:rPr>
        <w:t xml:space="preserve">The Bill provides for the registration of labels to be used on packages containing agricultural chemicals. The registration of labels is made the responsibility of the Minister of Agriculture, who is empowered to refuse registration on various grounds set </w:t>
      </w:r>
      <w:r>
        <w:rPr>
          <w:rFonts w:ascii="Arial" w:eastAsia="Arial" w:hAnsi="Arial" w:cs="Arial"/>
          <w:sz w:val="24"/>
          <w:szCs w:val="24"/>
        </w:rPr>
        <w:lastRenderedPageBreak/>
        <w:t>out in the Bill, namely, that the substance intended to be sold under the label is substantially ineffective for any purposes for which it is claimed it can be used. Power is given to the Minister to cancel the registration of a label in certain circumstances. As a general rule, the label must state particulars of the substances which are claimed to be active constituents of the agricultural chemical. A detailed description of the composition is not required to be given on the label. However, a detailed description is required to be furnished with the application as ''additional particulars.'' In certain cases, particulars of active constituents may be furnished as additional particulars. The Bill provides that where an applicant can establish that a secret process or formula might be disclosed if he were required to state any active constituents of a substance in a label, he may register the particulars of the active constituents as additional particulars.</w:t>
      </w:r>
    </w:p>
    <w:p w:rsidR="0001656A" w:rsidRDefault="00D51D42">
      <w:pPr>
        <w:pStyle w:val="normal0"/>
        <w:spacing w:before="120" w:after="120"/>
        <w:rPr>
          <w:rFonts w:ascii="Arial" w:eastAsia="Arial" w:hAnsi="Arial" w:cs="Arial"/>
          <w:sz w:val="24"/>
          <w:szCs w:val="24"/>
        </w:rPr>
      </w:pPr>
      <w:r>
        <w:rPr>
          <w:rFonts w:ascii="Arial" w:eastAsia="Arial" w:hAnsi="Arial" w:cs="Arial"/>
          <w:sz w:val="24"/>
          <w:szCs w:val="24"/>
        </w:rPr>
        <w:t>The Bill makes it an offence to sell an agricultural chemical except in a package with a copy of a registered label affixed to it, and also makes it an offence to sell a substance in a package with a copy of a registered label affixed to it, if the substance does not comply in every respect with the particulars stated in the copy and the registered additional particulars. Both the Fertilizers Act and the Pest Destroyers Act contain provisions affecting civil rights arising out of the sale of fertilizers and pest destroyers. Thus there are provisions creating warranties and enabling purchasers to refuse delivery. This Bill omits these provisions altogether. It is considered that it is better to leave these matters to be decided by the ordinary law of contract.</w:t>
      </w:r>
    </w:p>
    <w:p w:rsidR="0001656A" w:rsidRDefault="00D51D42">
      <w:pPr>
        <w:pStyle w:val="normal0"/>
        <w:spacing w:before="120" w:after="120"/>
        <w:rPr>
          <w:rFonts w:ascii="Arial" w:eastAsia="Arial" w:hAnsi="Arial" w:cs="Arial"/>
          <w:sz w:val="24"/>
          <w:szCs w:val="24"/>
        </w:rPr>
      </w:pPr>
      <w:r>
        <w:rPr>
          <w:rFonts w:ascii="Arial" w:eastAsia="Arial" w:hAnsi="Arial" w:cs="Arial"/>
          <w:sz w:val="24"/>
          <w:szCs w:val="24"/>
        </w:rPr>
        <w:t>The details of the Bill are as follow:—Clause 2 provides for the Bill to come into operation on a day to be fixed by proclamation. Clause 3 repeals the Fertilizers Act and the Pest Destroyers Act. Clause 4 is an interpretation clause. The only definitions which call for comment are those of "active constituent'' and ''agricultural chemical.'' The Bill defines agricultural chemical as a substance commonly used, or represented by the seller as capable of being used, for any of four purposes. These purposes are as follows: for preventing, regulating or promoting the growth of any vegetation; for improving the fertility or structures of soil in any way; for protecting vegetation or fruit or other products of any vegetation from attack by insects, animal fungi, parasitic plants, bacteria a or virus and for destroying vermin.</w:t>
      </w:r>
    </w:p>
    <w:p w:rsidR="0001656A" w:rsidRDefault="00D51D42">
      <w:pPr>
        <w:pStyle w:val="normal0"/>
        <w:spacing w:before="120" w:after="120"/>
        <w:rPr>
          <w:rFonts w:ascii="Arial" w:eastAsia="Arial" w:hAnsi="Arial" w:cs="Arial"/>
          <w:sz w:val="24"/>
          <w:szCs w:val="24"/>
        </w:rPr>
      </w:pPr>
      <w:r>
        <w:rPr>
          <w:rFonts w:ascii="Arial" w:eastAsia="Arial" w:hAnsi="Arial" w:cs="Arial"/>
          <w:sz w:val="24"/>
          <w:szCs w:val="24"/>
        </w:rPr>
        <w:t xml:space="preserve">The Bill also provides that the Governor may declare a substance to be an agricultural chemical by proclamation. This definition is wide enough to include all forms of fertilizers, plant hormones and weedkillers. Provision is made for substances to be excluded from the operation of the Act by proclamation. It is at present proposed to exempt certain natural products which have some value as fertilizers, for example, farmyard manure, crude night soil, crude offal and seaweed, and also substances which can be used both for agricultural purposes and for other purposes when they are sold for use for such other purposes, namely copper sulphate, sulphur, lime and zinc oxide. This matter is left to be dealt with by proclamation because it is considered that to attempt to deal with it in the Bill would lead to too great rigidity. It is almost certain that the list of exemptions will from time to time require amendments and additions, and </w:t>
      </w:r>
      <w:r>
        <w:rPr>
          <w:rFonts w:ascii="Arial" w:eastAsia="Arial" w:hAnsi="Arial" w:cs="Arial"/>
          <w:sz w:val="24"/>
          <w:szCs w:val="24"/>
        </w:rPr>
        <w:lastRenderedPageBreak/>
        <w:t>these can be made readily by proclamation. The Bill defines "active constituent'' to mean a constituent substance which is effective for any of the purposes mentioned in the definition of ''agricultural chemical'' or which materially influences the effectiveness for any of those purposes of any constituent substance.</w:t>
      </w:r>
    </w:p>
    <w:p w:rsidR="0001656A" w:rsidRDefault="00D51D42">
      <w:pPr>
        <w:pStyle w:val="normal0"/>
        <w:spacing w:before="120" w:after="120"/>
        <w:rPr>
          <w:rFonts w:ascii="Arial" w:eastAsia="Arial" w:hAnsi="Arial" w:cs="Arial"/>
          <w:sz w:val="24"/>
          <w:szCs w:val="24"/>
        </w:rPr>
      </w:pPr>
      <w:r>
        <w:rPr>
          <w:rFonts w:ascii="Arial" w:eastAsia="Arial" w:hAnsi="Arial" w:cs="Arial"/>
          <w:sz w:val="24"/>
          <w:szCs w:val="24"/>
        </w:rPr>
        <w:t xml:space="preserve">Clause 5 provides for the appointment of inspectors and analysts for the purpose of the legislation. Clause 6 provides, in effect, that a label attached to a package containing an agricultural chemical need not be a facsimile of the registered label, although it must contain particulars identical in all material respects with those stated in the registered label. It is unnecessary to insist on the use of exact copies of registered labels. </w:t>
      </w:r>
    </w:p>
    <w:p w:rsidR="0001656A" w:rsidRDefault="00D51D42">
      <w:pPr>
        <w:pStyle w:val="normal0"/>
        <w:spacing w:before="120" w:after="120"/>
        <w:rPr>
          <w:rFonts w:ascii="Arial" w:eastAsia="Arial" w:hAnsi="Arial" w:cs="Arial"/>
          <w:sz w:val="24"/>
          <w:szCs w:val="24"/>
        </w:rPr>
      </w:pPr>
      <w:r>
        <w:rPr>
          <w:rFonts w:ascii="Arial" w:eastAsia="Arial" w:hAnsi="Arial" w:cs="Arial"/>
          <w:sz w:val="24"/>
          <w:szCs w:val="24"/>
        </w:rPr>
        <w:t>Clause 7 sets out the circumstances under which a substance shall for the purposes of the Bill be deemed not to comply with the particulars shown in the label and the additional particulars. A substance will be deemed not to comply with such particulars only where the quantity of any claimed active constituent is greater or less than the quantity indicated in the particulars by more than the prescribed tolerance, or where the constituent substances are not properly mixed or where the substance is deemed not to comply with the particulars by virtue of the regulations. It is desirable that the circumstances in which a substance will be regarded as not complying with particulars of composition should be limited to that at the same time it is neither practical or desirable to set out all the circumstances in the Bill. Hence the Bill provides for the matter to be dealt with for the most parts of regulation.</w:t>
      </w:r>
    </w:p>
    <w:p w:rsidR="0001656A" w:rsidRDefault="00D51D42">
      <w:pPr>
        <w:pStyle w:val="normal0"/>
        <w:spacing w:before="120" w:after="120"/>
        <w:rPr>
          <w:rFonts w:ascii="Arial" w:eastAsia="Arial" w:hAnsi="Arial" w:cs="Arial"/>
          <w:sz w:val="24"/>
          <w:szCs w:val="24"/>
        </w:rPr>
      </w:pPr>
      <w:r>
        <w:rPr>
          <w:rFonts w:ascii="Arial" w:eastAsia="Arial" w:hAnsi="Arial" w:cs="Arial"/>
          <w:sz w:val="24"/>
          <w:szCs w:val="24"/>
        </w:rPr>
        <w:t>Clause 9 makes it an office to sell, offer for sale, expose for sale, or have in possession for the purpose of sale a substance in a package with a copy of a registered label affixed to it unless the substance complies in every respect with the particulars shown on the label and the registered additional particulars. It is a defence to a charge under clause 9 if the defendant obtain the substance already packed and labelled and that the defendant believed on reasonable ground that the substance complied with the particulars. Thus a person who manufactures and packs an agricultural chemical will be placed under a strict liability for any deficiency is the product marked by him, while a dealer who purchases an agricultural chemical complied with the particulars.</w:t>
      </w:r>
    </w:p>
    <w:p w:rsidR="0001656A" w:rsidRDefault="00D51D42">
      <w:pPr>
        <w:pStyle w:val="normal0"/>
        <w:spacing w:before="120" w:after="120"/>
        <w:rPr>
          <w:rFonts w:ascii="Arial" w:eastAsia="Arial" w:hAnsi="Arial" w:cs="Arial"/>
          <w:sz w:val="24"/>
          <w:szCs w:val="24"/>
        </w:rPr>
      </w:pPr>
      <w:r>
        <w:rPr>
          <w:rFonts w:ascii="Arial" w:eastAsia="Arial" w:hAnsi="Arial" w:cs="Arial"/>
          <w:sz w:val="24"/>
          <w:szCs w:val="24"/>
        </w:rPr>
        <w:t>Clause 10 makes it an offence for a person who sells an agricultural chemical in the course of his business to make any false or misleading claim in respect of the agricultural chemical. This clause is principally designed to prevent false or misleading advertising, examples of which have come to the notice of the Government. It will also prevent the inclusion of false or misleading matter in a label other than a registered label attached to a package containing an agricultural chemical.</w:t>
      </w:r>
    </w:p>
    <w:p w:rsidR="0001656A" w:rsidRDefault="00D51D42">
      <w:pPr>
        <w:pStyle w:val="normal0"/>
        <w:spacing w:before="120" w:after="120"/>
        <w:rPr>
          <w:rFonts w:ascii="Arial" w:eastAsia="Arial" w:hAnsi="Arial" w:cs="Arial"/>
          <w:sz w:val="24"/>
          <w:szCs w:val="24"/>
        </w:rPr>
      </w:pPr>
      <w:r>
        <w:rPr>
          <w:rFonts w:ascii="Arial" w:eastAsia="Arial" w:hAnsi="Arial" w:cs="Arial"/>
          <w:sz w:val="24"/>
          <w:szCs w:val="24"/>
        </w:rPr>
        <w:t xml:space="preserve">Clause 11 makes it an offence to sell, offer for sale, expose for sale or have in possession for the purpose of sale or have in possession for the purpose of sale and agricultural chemical which does not comply with the prescribed standard. A defence to a charge of this offence somewhat similar to the defence provided for the offence created by clause 9 is provided. The Pest Destroyers Act provides for the fixing of </w:t>
      </w:r>
      <w:r>
        <w:rPr>
          <w:rFonts w:ascii="Arial" w:eastAsia="Arial" w:hAnsi="Arial" w:cs="Arial"/>
          <w:sz w:val="24"/>
          <w:szCs w:val="24"/>
        </w:rPr>
        <w:lastRenderedPageBreak/>
        <w:t>standards. Only one standard has in fact been fixed, namely a standard for copper carbonate. This standard will be enforced by clause 11. It is proposed that, if possible, other standards should be fixed in the future, as standards are regarded as a valuable means of regulating the sale of agricultural chemicals. However, there will be some delay before any further standards are fixed. Work recently done on the subject has revealed that the fixing of standards is a complex matter.</w:t>
      </w:r>
    </w:p>
    <w:p w:rsidR="0001656A" w:rsidRDefault="00D51D42">
      <w:pPr>
        <w:pStyle w:val="normal0"/>
        <w:spacing w:before="120" w:after="120"/>
        <w:rPr>
          <w:rFonts w:ascii="Arial" w:eastAsia="Arial" w:hAnsi="Arial" w:cs="Arial"/>
          <w:sz w:val="24"/>
          <w:szCs w:val="24"/>
        </w:rPr>
      </w:pPr>
      <w:r>
        <w:rPr>
          <w:rFonts w:ascii="Arial" w:eastAsia="Arial" w:hAnsi="Arial" w:cs="Arial"/>
          <w:sz w:val="24"/>
          <w:szCs w:val="24"/>
        </w:rPr>
        <w:t>Clause 12 deals with applications for registration of labels and additional particulars. The clause sets out the particulars which are to be included in a label, and provides for the use of abbreviations and symbols. Particulars composition of a substance must be given in compliance with the regulations and directions given by the Minister. This provision will ensure that the particulars given have a definite chemical meaning. Clause 12 provides for the payment of a registration fee of 5s.</w:t>
      </w:r>
    </w:p>
    <w:p w:rsidR="0001656A" w:rsidRDefault="00D51D42">
      <w:pPr>
        <w:pStyle w:val="normal0"/>
        <w:spacing w:before="120" w:after="120"/>
        <w:rPr>
          <w:rFonts w:ascii="Arial" w:eastAsia="Arial" w:hAnsi="Arial" w:cs="Arial"/>
          <w:sz w:val="24"/>
          <w:szCs w:val="24"/>
        </w:rPr>
      </w:pPr>
      <w:r>
        <w:rPr>
          <w:rFonts w:ascii="Arial" w:eastAsia="Arial" w:hAnsi="Arial" w:cs="Arial"/>
          <w:sz w:val="24"/>
          <w:szCs w:val="24"/>
        </w:rPr>
        <w:t>Clause 13 enables an application to be made for the registration of a label which does not disclose the active constituents of the substance intended to be sold under the label. This clause provides that on such an application particulars of the active constituent of the substance must be supplied as additional particulars. The clause provides that the Minister shall not deal with the application unless he is satisfied that the disclosure of the particulars might lead to the disclosure of a secret process or formula and that some person might thereby suffer loss. Provision is made elsewhere in the Bill to prevent as far as possible the disclosure of particulars supplied to the Minister under this clause.</w:t>
      </w:r>
    </w:p>
    <w:p w:rsidR="0001656A" w:rsidRDefault="00D51D42">
      <w:pPr>
        <w:pStyle w:val="normal0"/>
        <w:spacing w:before="120" w:after="120"/>
        <w:rPr>
          <w:rFonts w:ascii="Arial" w:eastAsia="Arial" w:hAnsi="Arial" w:cs="Arial"/>
          <w:sz w:val="24"/>
          <w:szCs w:val="24"/>
        </w:rPr>
      </w:pPr>
      <w:r>
        <w:rPr>
          <w:rFonts w:ascii="Arial" w:eastAsia="Arial" w:hAnsi="Arial" w:cs="Arial"/>
          <w:sz w:val="24"/>
          <w:szCs w:val="24"/>
        </w:rPr>
        <w:t>Clause 14 sets out the grounds on which the Minister may refuse the registration of a label. They are as follows:</w:t>
      </w:r>
    </w:p>
    <w:p w:rsidR="0001656A" w:rsidRDefault="00D51D42">
      <w:pPr>
        <w:pStyle w:val="normal0"/>
        <w:spacing w:before="120" w:after="12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that the substance intended to be sold under the label is substantially ineffective for any purpose mentioned therein or in additional particulars as a purpose for which the application claims or intends the substance may be used;</w:t>
      </w:r>
    </w:p>
    <w:p w:rsidR="0001656A" w:rsidRDefault="00D51D42">
      <w:pPr>
        <w:pStyle w:val="normal0"/>
        <w:spacing w:before="120" w:after="12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that if the substance is used for any such purpose, there may be a substantial risk or injury to health to members of the public;</w:t>
      </w:r>
    </w:p>
    <w:p w:rsidR="0001656A" w:rsidRDefault="00D51D42">
      <w:pPr>
        <w:pStyle w:val="normal0"/>
        <w:spacing w:before="120" w:after="120"/>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that the distinctive name of the substance is misleading;</w:t>
      </w:r>
    </w:p>
    <w:p w:rsidR="0001656A" w:rsidRDefault="00D51D42">
      <w:pPr>
        <w:pStyle w:val="normal0"/>
        <w:spacing w:before="120" w:after="120"/>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ab/>
        <w:t>that any statement in the application or in the label is false or misleading in a material particular;</w:t>
      </w:r>
    </w:p>
    <w:p w:rsidR="0001656A" w:rsidRDefault="00D51D42">
      <w:pPr>
        <w:pStyle w:val="normal0"/>
        <w:spacing w:before="120" w:after="120"/>
        <w:rPr>
          <w:rFonts w:ascii="Arial" w:eastAsia="Arial" w:hAnsi="Arial" w:cs="Arial"/>
          <w:sz w:val="24"/>
          <w:szCs w:val="24"/>
        </w:rPr>
      </w:pPr>
      <w:r>
        <w:rPr>
          <w:rFonts w:ascii="Arial" w:eastAsia="Arial" w:hAnsi="Arial" w:cs="Arial"/>
          <w:sz w:val="24"/>
          <w:szCs w:val="24"/>
        </w:rPr>
        <w:t>(e)</w:t>
      </w:r>
      <w:r>
        <w:rPr>
          <w:rFonts w:ascii="Arial" w:eastAsia="Arial" w:hAnsi="Arial" w:cs="Arial"/>
          <w:sz w:val="24"/>
          <w:szCs w:val="24"/>
        </w:rPr>
        <w:tab/>
        <w:t>that in any respect the substance does not comply with the particulars stated in the label or the additional particulars;</w:t>
      </w:r>
    </w:p>
    <w:p w:rsidR="0001656A" w:rsidRDefault="00D51D42">
      <w:pPr>
        <w:pStyle w:val="normal0"/>
        <w:spacing w:before="120" w:after="120"/>
        <w:rPr>
          <w:rFonts w:ascii="Arial" w:eastAsia="Arial" w:hAnsi="Arial" w:cs="Arial"/>
          <w:sz w:val="24"/>
          <w:szCs w:val="24"/>
        </w:rPr>
      </w:pPr>
      <w:r>
        <w:rPr>
          <w:rFonts w:ascii="Arial" w:eastAsia="Arial" w:hAnsi="Arial" w:cs="Arial"/>
          <w:sz w:val="24"/>
          <w:szCs w:val="24"/>
        </w:rPr>
        <w:t>(f)</w:t>
      </w:r>
      <w:r>
        <w:rPr>
          <w:rFonts w:ascii="Arial" w:eastAsia="Arial" w:hAnsi="Arial" w:cs="Arial"/>
          <w:sz w:val="24"/>
          <w:szCs w:val="24"/>
        </w:rPr>
        <w:tab/>
        <w:t>that a standard having been prescribed which applied to the substance, the substance does not comply with that standard; or</w:t>
      </w:r>
    </w:p>
    <w:p w:rsidR="0001656A" w:rsidRDefault="00D51D42">
      <w:pPr>
        <w:pStyle w:val="normal0"/>
        <w:spacing w:before="120" w:after="120"/>
        <w:rPr>
          <w:rFonts w:ascii="Arial" w:eastAsia="Arial" w:hAnsi="Arial" w:cs="Arial"/>
          <w:sz w:val="24"/>
          <w:szCs w:val="24"/>
        </w:rPr>
      </w:pPr>
      <w:r>
        <w:rPr>
          <w:rFonts w:ascii="Arial" w:eastAsia="Arial" w:hAnsi="Arial" w:cs="Arial"/>
          <w:sz w:val="24"/>
          <w:szCs w:val="24"/>
        </w:rPr>
        <w:t>(g)</w:t>
      </w:r>
      <w:r>
        <w:rPr>
          <w:rFonts w:ascii="Arial" w:eastAsia="Arial" w:hAnsi="Arial" w:cs="Arial"/>
          <w:sz w:val="24"/>
          <w:szCs w:val="24"/>
        </w:rPr>
        <w:tab/>
        <w:t>that a constituent substance which is not claimed as an active constituent of the substance ought to be so claimed.</w:t>
      </w:r>
    </w:p>
    <w:p w:rsidR="0001656A" w:rsidRDefault="00D51D42">
      <w:pPr>
        <w:pStyle w:val="normal0"/>
        <w:spacing w:before="120" w:after="120"/>
        <w:rPr>
          <w:rFonts w:ascii="Arial" w:eastAsia="Arial" w:hAnsi="Arial" w:cs="Arial"/>
          <w:sz w:val="24"/>
          <w:szCs w:val="24"/>
        </w:rPr>
      </w:pPr>
      <w:r>
        <w:rPr>
          <w:rFonts w:ascii="Arial" w:eastAsia="Arial" w:hAnsi="Arial" w:cs="Arial"/>
          <w:sz w:val="24"/>
          <w:szCs w:val="24"/>
        </w:rPr>
        <w:t xml:space="preserve">The clause provides that the Minister must not register a label unless he is satisfied that the substance if sold under the label would not be sold in contravention of the Poison </w:t>
      </w:r>
      <w:r>
        <w:rPr>
          <w:rFonts w:ascii="Arial" w:eastAsia="Arial" w:hAnsi="Arial" w:cs="Arial"/>
          <w:sz w:val="24"/>
          <w:szCs w:val="24"/>
        </w:rPr>
        <w:lastRenderedPageBreak/>
        <w:t>Regulations. An application for registration must otherwise be granted as of right unless the Minister is satisfied that a ground exists for the refusal of registration.</w:t>
      </w:r>
    </w:p>
    <w:p w:rsidR="0001656A" w:rsidRDefault="00D51D42">
      <w:pPr>
        <w:pStyle w:val="normal0"/>
        <w:spacing w:before="120" w:after="120"/>
        <w:rPr>
          <w:rFonts w:ascii="Arial" w:eastAsia="Arial" w:hAnsi="Arial" w:cs="Arial"/>
          <w:sz w:val="24"/>
          <w:szCs w:val="24"/>
        </w:rPr>
      </w:pPr>
      <w:r>
        <w:rPr>
          <w:rFonts w:ascii="Arial" w:eastAsia="Arial" w:hAnsi="Arial" w:cs="Arial"/>
          <w:sz w:val="24"/>
          <w:szCs w:val="24"/>
        </w:rPr>
        <w:t>Clause 15 enables one label to be registered for a number of packages containing different quantities of the same substance. Clauses 16 to 22 enact various machinery provisions. Among other things they deal with such matters as the annual renewal of registration, the alteration of a registered label or registered additional particulars and the keeping of a register of labels and additional particulars. Clause 21 enables the Minister to refer any matter arising out of an application to the Central Board of Health for the report of the Board.</w:t>
      </w:r>
    </w:p>
    <w:p w:rsidR="0001656A" w:rsidRDefault="00D51D42">
      <w:pPr>
        <w:pStyle w:val="normal0"/>
        <w:spacing w:before="120" w:after="120"/>
        <w:rPr>
          <w:rFonts w:ascii="Arial" w:eastAsia="Arial" w:hAnsi="Arial" w:cs="Arial"/>
          <w:sz w:val="24"/>
          <w:szCs w:val="24"/>
        </w:rPr>
      </w:pPr>
      <w:r>
        <w:rPr>
          <w:rFonts w:ascii="Arial" w:eastAsia="Arial" w:hAnsi="Arial" w:cs="Arial"/>
          <w:sz w:val="24"/>
          <w:szCs w:val="24"/>
        </w:rPr>
        <w:t>Clause 23 provides for the cancellation of registration. Two grounds of cancellation are provided, namely, that the person who obtained the registration has sold, offered for sale, exposed for sale or had in his possession, for the purpose of sale, any substance in a package with a copy of a registered label affixed to it and the substance has not complied with the particulars contained in the copy and the registered additional particulars or the person has been convicted of an offence against the Bill. The first of the grounds mentioned in this clause is included mainly in order to facilitate the enforcement of the provisions of the Bill against interstate manufacturers. Many agricultural chemicals are manufactured and packed in other States and it is expected that difficulty would be experienced in prosecuting such persons for offences against the Bill.</w:t>
      </w:r>
    </w:p>
    <w:p w:rsidR="0001656A" w:rsidRDefault="00D51D42">
      <w:pPr>
        <w:pStyle w:val="normal0"/>
        <w:spacing w:before="120" w:after="120"/>
        <w:rPr>
          <w:rFonts w:ascii="Arial" w:eastAsia="Arial" w:hAnsi="Arial" w:cs="Arial"/>
          <w:sz w:val="24"/>
          <w:szCs w:val="24"/>
        </w:rPr>
      </w:pPr>
      <w:r>
        <w:rPr>
          <w:rFonts w:ascii="Arial" w:eastAsia="Arial" w:hAnsi="Arial" w:cs="Arial"/>
          <w:sz w:val="24"/>
          <w:szCs w:val="24"/>
        </w:rPr>
        <w:t>Clauses 24 to 28 provide for the taking of samples by inspectors and by private purchasers, for the analysis of such samples, for the publication of the result of an analysis, and other matters incidental to the taking of samples and the analysis of samples. Clause 29 enables a court, on convicting a person of an offence against the Act by means of evidence of an analysis to order the person to pay the costs of the analysis. Clause 30 makes it an offence to obstruct the Minister or any inspector or analyst in the execution of his powers and duties under the Bill. The provisions of clauses 24 to 30 are substantially similar to provisions contained in the Fertilizers Act and the Pest Destroyers Act.</w:t>
      </w:r>
    </w:p>
    <w:p w:rsidR="0001656A" w:rsidRDefault="00D51D42">
      <w:pPr>
        <w:pStyle w:val="normal0"/>
        <w:spacing w:before="120" w:after="120"/>
        <w:rPr>
          <w:rFonts w:ascii="Arial" w:eastAsia="Arial" w:hAnsi="Arial" w:cs="Arial"/>
          <w:sz w:val="24"/>
          <w:szCs w:val="24"/>
        </w:rPr>
      </w:pPr>
      <w:r>
        <w:rPr>
          <w:rFonts w:ascii="Arial" w:eastAsia="Arial" w:hAnsi="Arial" w:cs="Arial"/>
          <w:sz w:val="24"/>
          <w:szCs w:val="24"/>
        </w:rPr>
        <w:t>Clause 31 requires the Minister to take all reasonable steps to ensure that information supplied to him under the Act concerning the composition of substances is not unnecessarily disclosed to the public. Clause 32 provides for the making of regulations. The clause provides, in particular, for the making of regulations for the taking of grab samples. The purpose of this provision is to enable samples to be taken by which the proper mixing, of an agricultural chemical can be determined, in order to obviate any injustice arising from the method of taking samples provision is made that different tolerances may be prescribed to apply where grab samples are taken. The clause also enables regulations to be made requiring packages containing agricultural chemicals to be labelled with a brand where ordinary labels are not suitable for use.</w:t>
      </w:r>
    </w:p>
    <w:p w:rsidR="0001656A" w:rsidRDefault="00D51D42">
      <w:pPr>
        <w:pStyle w:val="normal0"/>
        <w:spacing w:before="120" w:after="120"/>
        <w:rPr>
          <w:rFonts w:ascii="Arial" w:eastAsia="Arial" w:hAnsi="Arial" w:cs="Arial"/>
          <w:sz w:val="24"/>
          <w:szCs w:val="24"/>
        </w:rPr>
      </w:pPr>
      <w:r>
        <w:rPr>
          <w:rFonts w:ascii="Arial" w:eastAsia="Arial" w:hAnsi="Arial" w:cs="Arial"/>
          <w:sz w:val="24"/>
          <w:szCs w:val="24"/>
        </w:rPr>
        <w:lastRenderedPageBreak/>
        <w:t>Clauses 33, 34, and 35 deal with legal procedure. Clause 34 enables a complaint for an offence against the Bill to be laid within 12 months of the matter of the complaint arising. Normally, by virtue of the Justices Act, a complaint must be laid within six months. The object of clause 34 is to facilitate the prosecution of the person who originally packs and labels an agricultural chemical in contravention of the Bill, by giving more time for the offence to be discovered.</w:t>
      </w:r>
    </w:p>
    <w:p w:rsidR="0001656A" w:rsidRDefault="00D51D42">
      <w:pPr>
        <w:pStyle w:val="normal0"/>
        <w:spacing w:before="120" w:after="120"/>
        <w:rPr>
          <w:rFonts w:ascii="Arial" w:eastAsia="Arial" w:hAnsi="Arial" w:cs="Arial"/>
          <w:sz w:val="24"/>
          <w:szCs w:val="24"/>
        </w:rPr>
      </w:pPr>
      <w:r>
        <w:rPr>
          <w:rFonts w:ascii="Arial" w:eastAsia="Arial" w:hAnsi="Arial" w:cs="Arial"/>
          <w:sz w:val="24"/>
          <w:szCs w:val="24"/>
        </w:rPr>
        <w:t>Clause 36 is a transitional provision in effect providing for the continuance of a registration under the Fertilizers Act or Pest Destroyers Act until the normal expiry date. The clause enables any substance not registered under either of those Acts to be packed in packages not labelled with a label registered under this Bill for three months after the commencement of the Bill. Clause 37 amends the Stock Medicines Act. The effect of clause 37 is to bring within the scope of that Act substances used for preventing insects or other pests from attacking stock. The sale of such substances is at present controlled by the Pest Destroyers Act. Clause 37 also provides that the Stock Medicines Act shall not apply to any agricultural chemical within the meaning of the Bill. Clause 37 is designed to make a convenient division of work in the Department of Agriculture.</w:t>
      </w:r>
    </w:p>
    <w:p w:rsidR="0001656A" w:rsidRDefault="00D51D42">
      <w:pPr>
        <w:pStyle w:val="normal0"/>
        <w:spacing w:before="120" w:after="120"/>
        <w:rPr>
          <w:rFonts w:ascii="Arial" w:eastAsia="Arial" w:hAnsi="Arial" w:cs="Arial"/>
          <w:sz w:val="24"/>
          <w:szCs w:val="24"/>
        </w:rPr>
      </w:pPr>
      <w:r>
        <w:rPr>
          <w:rFonts w:ascii="Arial" w:eastAsia="Arial" w:hAnsi="Arial" w:cs="Arial"/>
          <w:sz w:val="24"/>
          <w:szCs w:val="24"/>
        </w:rPr>
        <w:t>The Hon S. C. BEVAN secured the adjournment of the debate.</w:t>
      </w:r>
    </w:p>
    <w:p w:rsidR="0001656A" w:rsidRDefault="0001656A">
      <w:pPr>
        <w:pStyle w:val="normal0"/>
        <w:spacing w:before="120" w:after="120"/>
        <w:rPr>
          <w:rFonts w:ascii="Arial" w:eastAsia="Arial" w:hAnsi="Arial" w:cs="Arial"/>
          <w:sz w:val="24"/>
          <w:szCs w:val="24"/>
        </w:rPr>
      </w:pPr>
    </w:p>
    <w:p w:rsidR="0001656A" w:rsidRDefault="00D51D42">
      <w:pPr>
        <w:pStyle w:val="normal0"/>
        <w:spacing w:before="120" w:after="120"/>
        <w:rPr>
          <w:rFonts w:ascii="Arial" w:eastAsia="Arial" w:hAnsi="Arial" w:cs="Arial"/>
          <w:sz w:val="24"/>
          <w:szCs w:val="24"/>
        </w:rPr>
      </w:pPr>
      <w:r>
        <w:rPr>
          <w:rFonts w:ascii="Arial" w:eastAsia="Arial" w:hAnsi="Arial" w:cs="Arial"/>
          <w:sz w:val="24"/>
          <w:szCs w:val="24"/>
        </w:rPr>
        <w:t>ADJOURNMENT</w:t>
      </w:r>
    </w:p>
    <w:p w:rsidR="0001656A" w:rsidRDefault="00D51D42">
      <w:pPr>
        <w:pStyle w:val="normal0"/>
        <w:spacing w:before="120" w:after="120"/>
        <w:rPr>
          <w:rFonts w:ascii="Arial" w:eastAsia="Arial" w:hAnsi="Arial" w:cs="Arial"/>
          <w:sz w:val="24"/>
          <w:szCs w:val="24"/>
        </w:rPr>
      </w:pPr>
      <w:r>
        <w:rPr>
          <w:rFonts w:ascii="Arial" w:eastAsia="Arial" w:hAnsi="Arial" w:cs="Arial"/>
          <w:sz w:val="24"/>
          <w:szCs w:val="24"/>
        </w:rPr>
        <w:t>At 10.20 p.m. the Council adjourned until Thursday, November 17, at 2 p.m.</w:t>
      </w:r>
    </w:p>
    <w:p w:rsidR="0001656A" w:rsidRDefault="0001656A">
      <w:pPr>
        <w:pStyle w:val="normal0"/>
        <w:pBdr>
          <w:top w:val="nil"/>
          <w:left w:val="nil"/>
          <w:bottom w:val="nil"/>
          <w:right w:val="nil"/>
          <w:between w:val="nil"/>
        </w:pBdr>
        <w:spacing w:before="120" w:after="120"/>
        <w:rPr>
          <w:rFonts w:ascii="Arial" w:eastAsia="Arial" w:hAnsi="Arial" w:cs="Arial"/>
          <w:sz w:val="24"/>
          <w:szCs w:val="24"/>
        </w:rPr>
      </w:pPr>
    </w:p>
    <w:sectPr w:rsidR="0001656A" w:rsidSect="0001656A">
      <w:footerReference w:type="default" r:id="rId6"/>
      <w:pgSz w:w="11906" w:h="16838"/>
      <w:pgMar w:top="1281" w:right="1411" w:bottom="2131" w:left="113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EF3" w:rsidRDefault="00256EF3" w:rsidP="0001656A">
      <w:pPr>
        <w:spacing w:after="0" w:line="240" w:lineRule="auto"/>
      </w:pPr>
      <w:r>
        <w:separator/>
      </w:r>
    </w:p>
  </w:endnote>
  <w:endnote w:type="continuationSeparator" w:id="1">
    <w:p w:rsidR="00256EF3" w:rsidRDefault="00256EF3" w:rsidP="00016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6A" w:rsidRDefault="00D51D42">
    <w:pPr>
      <w:pStyle w:val="normal0"/>
      <w:tabs>
        <w:tab w:val="left" w:pos="4320"/>
        <w:tab w:val="left" w:pos="5387"/>
      </w:tabs>
      <w:spacing w:before="240" w:after="0" w:line="300" w:lineRule="auto"/>
    </w:pPr>
    <w:r>
      <w:rPr>
        <w:rFonts w:ascii="Arial" w:eastAsia="Arial" w:hAnsi="Arial" w:cs="Arial"/>
        <w:sz w:val="24"/>
        <w:szCs w:val="24"/>
      </w:rPr>
      <w:t xml:space="preserve">Page </w:t>
    </w:r>
    <w:r w:rsidR="0008103B">
      <w:rPr>
        <w:rFonts w:ascii="Arial" w:eastAsia="Arial" w:hAnsi="Arial" w:cs="Arial"/>
        <w:b/>
        <w:sz w:val="24"/>
        <w:szCs w:val="24"/>
      </w:rPr>
      <w:fldChar w:fldCharType="begin"/>
    </w:r>
    <w:r>
      <w:rPr>
        <w:rFonts w:ascii="Arial" w:eastAsia="Arial" w:hAnsi="Arial" w:cs="Arial"/>
        <w:b/>
        <w:sz w:val="24"/>
        <w:szCs w:val="24"/>
      </w:rPr>
      <w:instrText>PAGE</w:instrText>
    </w:r>
    <w:r w:rsidR="0008103B">
      <w:rPr>
        <w:rFonts w:ascii="Arial" w:eastAsia="Arial" w:hAnsi="Arial" w:cs="Arial"/>
        <w:b/>
        <w:sz w:val="24"/>
        <w:szCs w:val="24"/>
      </w:rPr>
      <w:fldChar w:fldCharType="separate"/>
    </w:r>
    <w:r w:rsidR="00E02738">
      <w:rPr>
        <w:rFonts w:ascii="Arial" w:eastAsia="Arial" w:hAnsi="Arial" w:cs="Arial"/>
        <w:b/>
        <w:noProof/>
        <w:sz w:val="24"/>
        <w:szCs w:val="24"/>
      </w:rPr>
      <w:t>3</w:t>
    </w:r>
    <w:r w:rsidR="0008103B">
      <w:rPr>
        <w:rFonts w:ascii="Arial" w:eastAsia="Arial" w:hAnsi="Arial" w:cs="Arial"/>
        <w:b/>
        <w:sz w:val="24"/>
        <w:szCs w:val="24"/>
      </w:rPr>
      <w:fldChar w:fldCharType="end"/>
    </w:r>
    <w:r>
      <w:rPr>
        <w:rFonts w:ascii="Arial" w:eastAsia="Arial" w:hAnsi="Arial" w:cs="Arial"/>
        <w:sz w:val="24"/>
        <w:szCs w:val="24"/>
      </w:rPr>
      <w:t xml:space="preserve"> of </w:t>
    </w:r>
    <w:r w:rsidR="0008103B">
      <w:rPr>
        <w:rFonts w:ascii="Arial" w:eastAsia="Arial" w:hAnsi="Arial" w:cs="Arial"/>
        <w:sz w:val="24"/>
        <w:szCs w:val="24"/>
      </w:rPr>
      <w:fldChar w:fldCharType="begin"/>
    </w:r>
    <w:r>
      <w:rPr>
        <w:rFonts w:ascii="Arial" w:eastAsia="Arial" w:hAnsi="Arial" w:cs="Arial"/>
        <w:sz w:val="24"/>
        <w:szCs w:val="24"/>
      </w:rPr>
      <w:instrText>NUMPAGES</w:instrText>
    </w:r>
    <w:r w:rsidR="0008103B">
      <w:rPr>
        <w:rFonts w:ascii="Arial" w:eastAsia="Arial" w:hAnsi="Arial" w:cs="Arial"/>
        <w:sz w:val="24"/>
        <w:szCs w:val="24"/>
      </w:rPr>
      <w:fldChar w:fldCharType="separate"/>
    </w:r>
    <w:r w:rsidR="00E02738">
      <w:rPr>
        <w:rFonts w:ascii="Arial" w:eastAsia="Arial" w:hAnsi="Arial" w:cs="Arial"/>
        <w:noProof/>
        <w:sz w:val="24"/>
        <w:szCs w:val="24"/>
      </w:rPr>
      <w:t>7</w:t>
    </w:r>
    <w:r w:rsidR="0008103B">
      <w:rPr>
        <w:rFonts w:ascii="Arial" w:eastAsia="Arial" w:hAnsi="Arial" w:cs="Arial"/>
        <w:sz w:val="24"/>
        <w:szCs w:val="24"/>
      </w:rPr>
      <w:fldChar w:fldCharType="end"/>
    </w:r>
    <w:r>
      <w:rPr>
        <w:rFonts w:ascii="Arial" w:eastAsia="Arial" w:hAnsi="Arial" w:cs="Arial"/>
        <w:sz w:val="24"/>
        <w:szCs w:val="24"/>
      </w:rPr>
      <w:tab/>
      <w:t>History of Agriculture South Australia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EF3" w:rsidRDefault="00256EF3" w:rsidP="0001656A">
      <w:pPr>
        <w:spacing w:after="0" w:line="240" w:lineRule="auto"/>
      </w:pPr>
      <w:r>
        <w:separator/>
      </w:r>
    </w:p>
  </w:footnote>
  <w:footnote w:type="continuationSeparator" w:id="1">
    <w:p w:rsidR="00256EF3" w:rsidRDefault="00256EF3" w:rsidP="000165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01656A"/>
    <w:rsid w:val="0001656A"/>
    <w:rsid w:val="0008103B"/>
    <w:rsid w:val="00256EF3"/>
    <w:rsid w:val="00446F0C"/>
    <w:rsid w:val="007D4179"/>
    <w:rsid w:val="00A545E3"/>
    <w:rsid w:val="00B1225C"/>
    <w:rsid w:val="00D51D42"/>
    <w:rsid w:val="00E02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F0C"/>
  </w:style>
  <w:style w:type="paragraph" w:styleId="Heading1">
    <w:name w:val="heading 1"/>
    <w:basedOn w:val="normal0"/>
    <w:next w:val="normal0"/>
    <w:rsid w:val="0001656A"/>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0"/>
    <w:next w:val="normal0"/>
    <w:rsid w:val="0001656A"/>
    <w:pPr>
      <w:keepNext/>
      <w:keepLines/>
      <w:spacing w:before="200" w:after="0"/>
      <w:outlineLvl w:val="1"/>
    </w:pPr>
    <w:rPr>
      <w:color w:val="4F81BD"/>
      <w:sz w:val="26"/>
      <w:szCs w:val="26"/>
    </w:rPr>
  </w:style>
  <w:style w:type="paragraph" w:styleId="Heading3">
    <w:name w:val="heading 3"/>
    <w:basedOn w:val="normal0"/>
    <w:next w:val="normal0"/>
    <w:rsid w:val="0001656A"/>
    <w:pPr>
      <w:keepNext/>
      <w:keepLines/>
      <w:spacing w:before="200" w:after="0"/>
      <w:outlineLvl w:val="2"/>
    </w:pPr>
    <w:rPr>
      <w:b/>
      <w:color w:val="4478B6"/>
      <w:sz w:val="24"/>
      <w:szCs w:val="24"/>
    </w:rPr>
  </w:style>
  <w:style w:type="paragraph" w:styleId="Heading4">
    <w:name w:val="heading 4"/>
    <w:basedOn w:val="normal0"/>
    <w:next w:val="normal0"/>
    <w:rsid w:val="0001656A"/>
    <w:pPr>
      <w:keepNext/>
      <w:keepLines/>
      <w:spacing w:before="240" w:after="40"/>
      <w:outlineLvl w:val="3"/>
    </w:pPr>
    <w:rPr>
      <w:b/>
      <w:sz w:val="24"/>
      <w:szCs w:val="24"/>
    </w:rPr>
  </w:style>
  <w:style w:type="paragraph" w:styleId="Heading5">
    <w:name w:val="heading 5"/>
    <w:basedOn w:val="normal0"/>
    <w:next w:val="normal0"/>
    <w:rsid w:val="0001656A"/>
    <w:pPr>
      <w:keepNext/>
      <w:keepLines/>
      <w:spacing w:before="220" w:after="40"/>
      <w:outlineLvl w:val="4"/>
    </w:pPr>
    <w:rPr>
      <w:b/>
    </w:rPr>
  </w:style>
  <w:style w:type="paragraph" w:styleId="Heading6">
    <w:name w:val="heading 6"/>
    <w:basedOn w:val="normal0"/>
    <w:next w:val="normal0"/>
    <w:rsid w:val="0001656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1656A"/>
  </w:style>
  <w:style w:type="paragraph" w:styleId="Title">
    <w:name w:val="Title"/>
    <w:basedOn w:val="normal0"/>
    <w:next w:val="normal0"/>
    <w:rsid w:val="0001656A"/>
    <w:pPr>
      <w:keepNext/>
      <w:keepLines/>
      <w:spacing w:before="480" w:after="120"/>
    </w:pPr>
    <w:rPr>
      <w:b/>
      <w:sz w:val="72"/>
      <w:szCs w:val="72"/>
    </w:rPr>
  </w:style>
  <w:style w:type="paragraph" w:styleId="Subtitle">
    <w:name w:val="Subtitle"/>
    <w:basedOn w:val="normal0"/>
    <w:next w:val="normal0"/>
    <w:rsid w:val="0001656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3021</Words>
  <Characters>17226</Characters>
  <Application>Microsoft Office Word</Application>
  <DocSecurity>0</DocSecurity>
  <Lines>143</Lines>
  <Paragraphs>40</Paragraphs>
  <ScaleCrop>false</ScaleCrop>
  <Company/>
  <LinksUpToDate>false</LinksUpToDate>
  <CharactersWithSpaces>20207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4</cp:revision>
  <dcterms:created xsi:type="dcterms:W3CDTF">2020-01-02T01:10:00Z</dcterms:created>
  <dcterms:modified xsi:type="dcterms:W3CDTF">2021-06-14T07:44:00Z</dcterms:modified>
</cp:coreProperties>
</file>