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806" w:rsidRPr="00C92D2F" w:rsidRDefault="00F33976" w:rsidP="00C92D2F">
      <w:pPr>
        <w:spacing w:after="0" w:line="276" w:lineRule="auto"/>
        <w:rPr>
          <w:rStyle w:val="BodytextItalic"/>
          <w:rFonts w:ascii="Arial" w:eastAsia="Arial Unicode MS" w:hAnsi="Arial" w:cs="Arial"/>
          <w:b/>
          <w:bCs/>
          <w:i w:val="0"/>
          <w:iCs w:val="0"/>
          <w:color w:val="00439E"/>
          <w:spacing w:val="1"/>
          <w:sz w:val="32"/>
          <w:szCs w:val="32"/>
          <w:lang w:eastAsia="en-AU"/>
        </w:rPr>
      </w:pPr>
      <w:r w:rsidRPr="00C92D2F">
        <w:rPr>
          <w:rStyle w:val="BodytextItalic"/>
          <w:rFonts w:ascii="Arial" w:eastAsia="Arial Unicode MS" w:hAnsi="Arial" w:cs="Arial"/>
          <w:b/>
          <w:bCs/>
          <w:i w:val="0"/>
          <w:iCs w:val="0"/>
          <w:color w:val="00439E"/>
          <w:spacing w:val="1"/>
          <w:sz w:val="32"/>
          <w:szCs w:val="32"/>
          <w:lang w:eastAsia="en-AU"/>
        </w:rPr>
        <w:t>LOCAL PUBLIC ABATTOIRS ACT REPEAL BILL</w:t>
      </w:r>
      <w:r w:rsidR="00C92D2F" w:rsidRPr="00C92D2F">
        <w:rPr>
          <w:rStyle w:val="BodytextItalic"/>
          <w:rFonts w:ascii="Arial" w:eastAsia="Arial Unicode MS" w:hAnsi="Arial" w:cs="Arial"/>
          <w:b/>
          <w:bCs/>
          <w:i w:val="0"/>
          <w:iCs w:val="0"/>
          <w:color w:val="00439E"/>
          <w:spacing w:val="1"/>
          <w:sz w:val="32"/>
          <w:szCs w:val="32"/>
          <w:lang w:eastAsia="en-AU"/>
        </w:rPr>
        <w:t xml:space="preserve"> 1988</w:t>
      </w:r>
    </w:p>
    <w:p w:rsidR="00C92D2F" w:rsidRPr="00C92D2F" w:rsidRDefault="00C92D2F" w:rsidP="00C92D2F">
      <w:pPr>
        <w:spacing w:after="0" w:line="276" w:lineRule="auto"/>
        <w:rPr>
          <w:rStyle w:val="BodytextItalic"/>
          <w:rFonts w:ascii="Arial" w:eastAsiaTheme="minorHAnsi" w:hAnsi="Arial" w:cs="Arial"/>
          <w:i w:val="0"/>
          <w:iCs w:val="0"/>
          <w:sz w:val="24"/>
          <w:szCs w:val="24"/>
        </w:rPr>
      </w:pPr>
    </w:p>
    <w:p w:rsidR="00C92D2F" w:rsidRPr="00C92D2F" w:rsidRDefault="00C92D2F" w:rsidP="00C92D2F">
      <w:pPr>
        <w:spacing w:after="0" w:line="276" w:lineRule="auto"/>
        <w:rPr>
          <w:rStyle w:val="BodytextItalic"/>
          <w:rFonts w:ascii="Arial" w:eastAsia="Arial Unicode MS" w:hAnsi="Arial" w:cs="Arial"/>
          <w:b/>
          <w:bCs/>
          <w:i w:val="0"/>
          <w:iCs w:val="0"/>
          <w:color w:val="00439E"/>
          <w:spacing w:val="1"/>
          <w:sz w:val="28"/>
          <w:szCs w:val="28"/>
          <w:lang w:eastAsia="en-AU"/>
        </w:rPr>
      </w:pPr>
      <w:r w:rsidRPr="00C92D2F">
        <w:rPr>
          <w:rStyle w:val="BodytextItalic"/>
          <w:rFonts w:ascii="Arial" w:eastAsia="Arial Unicode MS" w:hAnsi="Arial" w:cs="Arial"/>
          <w:b/>
          <w:bCs/>
          <w:i w:val="0"/>
          <w:iCs w:val="0"/>
          <w:color w:val="00439E"/>
          <w:spacing w:val="1"/>
          <w:sz w:val="28"/>
          <w:szCs w:val="28"/>
          <w:lang w:eastAsia="en-AU"/>
        </w:rPr>
        <w:t>LEGISLATIVE COUNCIL, 15 NOVEMBER 1988, PAGE 1479</w:t>
      </w:r>
    </w:p>
    <w:p w:rsidR="00C92D2F" w:rsidRPr="00C92D2F" w:rsidRDefault="00C92D2F" w:rsidP="00C92D2F">
      <w:pPr>
        <w:spacing w:after="0" w:line="276" w:lineRule="auto"/>
        <w:rPr>
          <w:rStyle w:val="BodytextItalic"/>
          <w:rFonts w:ascii="Arial" w:eastAsiaTheme="minorHAnsi" w:hAnsi="Arial" w:cs="Arial"/>
          <w:i w:val="0"/>
          <w:iCs w:val="0"/>
          <w:sz w:val="24"/>
          <w:szCs w:val="24"/>
        </w:rPr>
      </w:pPr>
    </w:p>
    <w:p w:rsidR="00C92D2F" w:rsidRDefault="00F33976" w:rsidP="00C92D2F">
      <w:pPr>
        <w:spacing w:after="0" w:line="276" w:lineRule="auto"/>
        <w:rPr>
          <w:rStyle w:val="BodytextItalic"/>
          <w:rFonts w:ascii="Arial" w:eastAsia="Arial Unicode MS" w:hAnsi="Arial" w:cs="Arial"/>
          <w:b/>
          <w:bCs/>
          <w:i w:val="0"/>
          <w:iCs w:val="0"/>
          <w:color w:val="00439E"/>
          <w:spacing w:val="1"/>
          <w:sz w:val="24"/>
          <w:szCs w:val="24"/>
          <w:lang w:eastAsia="en-AU"/>
        </w:rPr>
      </w:pPr>
      <w:r w:rsidRPr="00C92D2F">
        <w:rPr>
          <w:rStyle w:val="BodytextItalic"/>
          <w:rFonts w:ascii="Arial" w:eastAsia="Arial Unicode MS" w:hAnsi="Arial" w:cs="Arial"/>
          <w:b/>
          <w:bCs/>
          <w:i w:val="0"/>
          <w:iCs w:val="0"/>
          <w:color w:val="00439E"/>
          <w:spacing w:val="1"/>
          <w:sz w:val="24"/>
          <w:szCs w:val="24"/>
          <w:lang w:eastAsia="en-AU"/>
        </w:rPr>
        <w:t>Second reading.</w:t>
      </w:r>
      <w:bookmarkStart w:id="0" w:name="bookmark1"/>
    </w:p>
    <w:p w:rsidR="00C92D2F" w:rsidRPr="00C92D2F" w:rsidRDefault="00C92D2F" w:rsidP="00C92D2F">
      <w:pPr>
        <w:spacing w:after="0" w:line="276" w:lineRule="auto"/>
        <w:rPr>
          <w:rStyle w:val="BodytextItalic"/>
          <w:rFonts w:ascii="Arial" w:eastAsiaTheme="minorHAnsi" w:hAnsi="Arial" w:cs="Arial"/>
          <w:i w:val="0"/>
          <w:iCs w:val="0"/>
          <w:sz w:val="24"/>
          <w:szCs w:val="24"/>
        </w:rPr>
      </w:pPr>
    </w:p>
    <w:p w:rsidR="00C92D2F" w:rsidRDefault="00F33976" w:rsidP="00C92D2F">
      <w:pPr>
        <w:spacing w:after="0" w:line="276" w:lineRule="auto"/>
        <w:rPr>
          <w:rFonts w:cs="Arial"/>
          <w:szCs w:val="24"/>
        </w:rPr>
      </w:pPr>
      <w:r w:rsidRPr="00C92D2F">
        <w:rPr>
          <w:rStyle w:val="Heading275pt"/>
          <w:rFonts w:ascii="Arial" w:eastAsiaTheme="minorHAnsi" w:hAnsi="Arial" w:cs="Arial"/>
          <w:b w:val="0"/>
          <w:bCs w:val="0"/>
          <w:sz w:val="24"/>
          <w:szCs w:val="24"/>
        </w:rPr>
        <w:t>The</w:t>
      </w:r>
      <w:r w:rsidRPr="00C92D2F">
        <w:rPr>
          <w:rFonts w:cs="Arial"/>
          <w:b/>
          <w:bCs/>
          <w:szCs w:val="24"/>
        </w:rPr>
        <w:t xml:space="preserve"> Hon. BARBARA WIESE (Minister of Tourism)</w:t>
      </w:r>
      <w:r w:rsidRPr="00C92D2F">
        <w:rPr>
          <w:rFonts w:cs="Arial"/>
          <w:szCs w:val="24"/>
        </w:rPr>
        <w:t>: I</w:t>
      </w:r>
      <w:bookmarkEnd w:id="0"/>
      <w:r w:rsidR="00EC4CB1">
        <w:rPr>
          <w:rFonts w:cs="Arial"/>
          <w:szCs w:val="24"/>
        </w:rPr>
        <w:t xml:space="preserve"> </w:t>
      </w:r>
      <w:r w:rsidRPr="00C92D2F">
        <w:rPr>
          <w:rFonts w:cs="Arial"/>
          <w:szCs w:val="24"/>
        </w:rPr>
        <w:t>move:</w:t>
      </w:r>
    </w:p>
    <w:p w:rsidR="00C92D2F" w:rsidRDefault="00F33976" w:rsidP="00C92D2F">
      <w:pPr>
        <w:spacing w:after="0" w:line="276" w:lineRule="auto"/>
        <w:rPr>
          <w:rStyle w:val="BodytextItalic"/>
          <w:rFonts w:ascii="Arial" w:eastAsiaTheme="minorHAnsi" w:hAnsi="Arial" w:cs="Arial"/>
          <w:sz w:val="24"/>
          <w:szCs w:val="24"/>
        </w:rPr>
      </w:pPr>
      <w:r w:rsidRPr="00C92D2F">
        <w:rPr>
          <w:rStyle w:val="BodytextItalic"/>
          <w:rFonts w:ascii="Arial" w:eastAsiaTheme="minorHAnsi" w:hAnsi="Arial" w:cs="Arial"/>
          <w:sz w:val="24"/>
          <w:szCs w:val="24"/>
        </w:rPr>
        <w:t>That this Bill be now read a second time.</w:t>
      </w:r>
    </w:p>
    <w:p w:rsidR="00C92D2F" w:rsidRPr="00C92D2F" w:rsidRDefault="00C92D2F" w:rsidP="00C92D2F">
      <w:pPr>
        <w:spacing w:after="0" w:line="276" w:lineRule="auto"/>
        <w:rPr>
          <w:rStyle w:val="BodytextItalic"/>
          <w:rFonts w:ascii="Arial" w:eastAsiaTheme="minorHAnsi" w:hAnsi="Arial" w:cs="Arial"/>
          <w:i w:val="0"/>
          <w:iCs w:val="0"/>
          <w:sz w:val="24"/>
          <w:szCs w:val="24"/>
        </w:rPr>
      </w:pPr>
    </w:p>
    <w:p w:rsidR="00F33976" w:rsidRDefault="00F33976" w:rsidP="00C92D2F">
      <w:pPr>
        <w:spacing w:after="0" w:line="276" w:lineRule="auto"/>
        <w:rPr>
          <w:rFonts w:cs="Arial"/>
          <w:szCs w:val="24"/>
        </w:rPr>
      </w:pPr>
      <w:r w:rsidRPr="00C92D2F">
        <w:rPr>
          <w:rFonts w:cs="Arial"/>
          <w:szCs w:val="24"/>
        </w:rPr>
        <w:t>I seek leave to have the second reading explanation inserted in</w:t>
      </w:r>
      <w:r w:rsidRPr="00C92D2F">
        <w:rPr>
          <w:rStyle w:val="BodytextItalic"/>
          <w:rFonts w:ascii="Arial" w:eastAsiaTheme="minorHAnsi" w:hAnsi="Arial" w:cs="Arial"/>
          <w:sz w:val="24"/>
          <w:szCs w:val="24"/>
        </w:rPr>
        <w:t xml:space="preserve"> Hansard</w:t>
      </w:r>
      <w:r w:rsidRPr="00C92D2F">
        <w:rPr>
          <w:rFonts w:cs="Arial"/>
          <w:szCs w:val="24"/>
        </w:rPr>
        <w:t xml:space="preserve"> without my reading it. Leave granted.</w:t>
      </w:r>
    </w:p>
    <w:p w:rsidR="00C92D2F" w:rsidRPr="00C92D2F" w:rsidRDefault="00C92D2F" w:rsidP="00C92D2F">
      <w:pPr>
        <w:spacing w:after="0" w:line="276" w:lineRule="auto"/>
        <w:rPr>
          <w:rFonts w:cs="Arial"/>
          <w:szCs w:val="24"/>
        </w:rPr>
      </w:pPr>
    </w:p>
    <w:p w:rsidR="00C92D2F" w:rsidRPr="00C92D2F" w:rsidRDefault="00F33976" w:rsidP="00C92D2F">
      <w:pPr>
        <w:spacing w:after="0" w:line="276" w:lineRule="auto"/>
        <w:jc w:val="center"/>
        <w:rPr>
          <w:rStyle w:val="BodytextItalic"/>
          <w:rFonts w:ascii="Arial" w:eastAsiaTheme="minorHAnsi" w:hAnsi="Arial" w:cs="Arial"/>
          <w:b/>
          <w:bCs/>
          <w:i w:val="0"/>
          <w:iCs w:val="0"/>
          <w:sz w:val="24"/>
          <w:szCs w:val="24"/>
        </w:rPr>
      </w:pPr>
      <w:bookmarkStart w:id="1" w:name="bookmark2"/>
      <w:r w:rsidRPr="00C92D2F">
        <w:rPr>
          <w:rStyle w:val="BodytextItalic"/>
          <w:rFonts w:ascii="Arial" w:eastAsiaTheme="minorHAnsi" w:hAnsi="Arial" w:cs="Arial"/>
          <w:b/>
          <w:bCs/>
          <w:i w:val="0"/>
          <w:iCs w:val="0"/>
          <w:sz w:val="24"/>
          <w:szCs w:val="24"/>
        </w:rPr>
        <w:t>Explanation of Bill</w:t>
      </w:r>
      <w:bookmarkEnd w:id="1"/>
    </w:p>
    <w:p w:rsidR="00C92D2F" w:rsidRDefault="00C92D2F" w:rsidP="00C92D2F">
      <w:pPr>
        <w:spacing w:after="0" w:line="276" w:lineRule="auto"/>
        <w:rPr>
          <w:rStyle w:val="BodytextItalic"/>
          <w:rFonts w:ascii="Arial" w:eastAsiaTheme="minorHAnsi" w:hAnsi="Arial" w:cs="Arial"/>
          <w:i w:val="0"/>
          <w:iCs w:val="0"/>
          <w:sz w:val="24"/>
          <w:szCs w:val="24"/>
        </w:rPr>
      </w:pPr>
    </w:p>
    <w:p w:rsidR="00C92D2F" w:rsidRDefault="00F33976" w:rsidP="00C92D2F">
      <w:pPr>
        <w:spacing w:after="0" w:line="276" w:lineRule="auto"/>
        <w:rPr>
          <w:rFonts w:cs="Arial"/>
          <w:szCs w:val="24"/>
        </w:rPr>
      </w:pPr>
      <w:r w:rsidRPr="00C92D2F">
        <w:rPr>
          <w:rFonts w:cs="Arial"/>
          <w:szCs w:val="24"/>
        </w:rPr>
        <w:t>The purpose of this Bill is to repeal the Local Public Abattoirs Act 1911. Prior to the</w:t>
      </w:r>
      <w:r w:rsidRPr="00C92D2F">
        <w:rPr>
          <w:rStyle w:val="Bodytext75pt"/>
          <w:rFonts w:ascii="Arial" w:eastAsiaTheme="minorHAnsi" w:hAnsi="Arial" w:cs="Arial"/>
          <w:sz w:val="24"/>
          <w:szCs w:val="24"/>
        </w:rPr>
        <w:t xml:space="preserve"> enactment</w:t>
      </w:r>
      <w:r w:rsidRPr="00C92D2F">
        <w:rPr>
          <w:rFonts w:cs="Arial"/>
          <w:szCs w:val="24"/>
        </w:rPr>
        <w:t xml:space="preserve"> of the Meat Hygiene Act 1980, it was the practice of local government to own and operate service abattoirs for local farmers and butchers. At one time or another Whyalla, Port Augusta, Port Pirie and Port MacDonnell operated such abattoirs. In order to do </w:t>
      </w:r>
      <w:r w:rsidR="00C92D2F" w:rsidRPr="00C92D2F">
        <w:rPr>
          <w:rFonts w:cs="Arial"/>
          <w:szCs w:val="24"/>
        </w:rPr>
        <w:t>this,</w:t>
      </w:r>
      <w:r w:rsidRPr="00C92D2F">
        <w:rPr>
          <w:rFonts w:cs="Arial"/>
          <w:szCs w:val="24"/>
        </w:rPr>
        <w:t xml:space="preserve"> they needed a legislative framework, hence the Local Public Abattoirs Act 1911, formerly known as the Abattoirs Act.</w:t>
      </w:r>
    </w:p>
    <w:p w:rsidR="00C92D2F" w:rsidRDefault="00C92D2F" w:rsidP="00C92D2F">
      <w:pPr>
        <w:spacing w:after="0" w:line="276" w:lineRule="auto"/>
        <w:rPr>
          <w:rFonts w:cs="Arial"/>
          <w:szCs w:val="24"/>
        </w:rPr>
      </w:pPr>
    </w:p>
    <w:p w:rsidR="00C92D2F" w:rsidRDefault="00F33976" w:rsidP="00C92D2F">
      <w:pPr>
        <w:spacing w:after="0" w:line="276" w:lineRule="auto"/>
        <w:rPr>
          <w:rFonts w:cs="Arial"/>
          <w:szCs w:val="24"/>
        </w:rPr>
      </w:pPr>
      <w:r w:rsidRPr="00C92D2F">
        <w:rPr>
          <w:rFonts w:cs="Arial"/>
          <w:szCs w:val="24"/>
        </w:rPr>
        <w:t>Following the report of the Joint Committee on Meat Hygiene legislation, the Meat Hygiene Act was enacted in 1980. As a result of this Act, the Local Public Abattoirs Act was no longer needed and many provisions of the Act were repealed at the same time as certain</w:t>
      </w:r>
      <w:r w:rsidRPr="00C92D2F">
        <w:rPr>
          <w:rStyle w:val="Bodytext75pt"/>
          <w:rFonts w:ascii="Arial" w:eastAsiaTheme="minorHAnsi" w:hAnsi="Arial" w:cs="Arial"/>
          <w:sz w:val="24"/>
          <w:szCs w:val="24"/>
        </w:rPr>
        <w:t xml:space="preserve"> provisions</w:t>
      </w:r>
      <w:r w:rsidRPr="00C92D2F">
        <w:rPr>
          <w:rFonts w:cs="Arial"/>
          <w:szCs w:val="24"/>
        </w:rPr>
        <w:t xml:space="preserve"> of the Meat Hygiene Act were brought into operation.</w:t>
      </w:r>
    </w:p>
    <w:p w:rsidR="00C92D2F" w:rsidRDefault="00C92D2F" w:rsidP="00C92D2F">
      <w:pPr>
        <w:spacing w:after="0" w:line="276" w:lineRule="auto"/>
        <w:rPr>
          <w:rFonts w:cs="Arial"/>
          <w:szCs w:val="24"/>
        </w:rPr>
      </w:pPr>
    </w:p>
    <w:p w:rsidR="00C92D2F" w:rsidRDefault="00F33976" w:rsidP="00C92D2F">
      <w:pPr>
        <w:spacing w:after="0" w:line="276" w:lineRule="auto"/>
        <w:rPr>
          <w:rFonts w:cs="Arial"/>
          <w:szCs w:val="24"/>
        </w:rPr>
      </w:pPr>
      <w:r w:rsidRPr="00C92D2F">
        <w:rPr>
          <w:rFonts w:cs="Arial"/>
          <w:szCs w:val="24"/>
        </w:rPr>
        <w:t>However, before all sections of the Meat Hygiene Act could be brought into operation, it was necessary to prepare regulations dealing with the licensing, construction and hygiene of abattoirs. While this was being done, parts of the Local Public Abattoirs Act had to be kept in force.</w:t>
      </w:r>
    </w:p>
    <w:p w:rsidR="00C92D2F" w:rsidRDefault="00C92D2F" w:rsidP="00C92D2F">
      <w:pPr>
        <w:spacing w:after="0" w:line="276" w:lineRule="auto"/>
        <w:rPr>
          <w:rFonts w:cs="Arial"/>
          <w:szCs w:val="24"/>
        </w:rPr>
      </w:pPr>
    </w:p>
    <w:p w:rsidR="00C92D2F" w:rsidRDefault="00F33976" w:rsidP="00C92D2F">
      <w:pPr>
        <w:spacing w:after="0" w:line="276" w:lineRule="auto"/>
        <w:rPr>
          <w:rFonts w:cs="Arial"/>
          <w:szCs w:val="24"/>
        </w:rPr>
      </w:pPr>
      <w:r w:rsidRPr="00C92D2F">
        <w:rPr>
          <w:rFonts w:cs="Arial"/>
          <w:szCs w:val="24"/>
        </w:rPr>
        <w:t>In February 1981, the meat hygiene</w:t>
      </w:r>
      <w:r w:rsidRPr="00C92D2F">
        <w:rPr>
          <w:rStyle w:val="Bodytext75pt"/>
          <w:rFonts w:ascii="Arial" w:eastAsiaTheme="minorHAnsi" w:hAnsi="Arial" w:cs="Arial"/>
          <w:sz w:val="24"/>
          <w:szCs w:val="24"/>
        </w:rPr>
        <w:t xml:space="preserve"> regulations</w:t>
      </w:r>
      <w:r w:rsidRPr="00C92D2F">
        <w:rPr>
          <w:rFonts w:cs="Arial"/>
          <w:szCs w:val="24"/>
        </w:rPr>
        <w:t xml:space="preserve"> and all </w:t>
      </w:r>
      <w:r w:rsidRPr="00C92D2F">
        <w:rPr>
          <w:rStyle w:val="Bodytext75pt"/>
          <w:rFonts w:ascii="Arial" w:eastAsiaTheme="minorHAnsi" w:hAnsi="Arial" w:cs="Arial"/>
          <w:sz w:val="24"/>
          <w:szCs w:val="24"/>
        </w:rPr>
        <w:t>sections</w:t>
      </w:r>
      <w:r w:rsidRPr="00C92D2F">
        <w:rPr>
          <w:rFonts w:cs="Arial"/>
          <w:szCs w:val="24"/>
        </w:rPr>
        <w:t xml:space="preserve"> of the Meat Hygiene Act were</w:t>
      </w:r>
      <w:r w:rsidRPr="00C92D2F">
        <w:rPr>
          <w:rStyle w:val="Bodytext75pt"/>
          <w:rFonts w:ascii="Arial" w:eastAsiaTheme="minorHAnsi" w:hAnsi="Arial" w:cs="Arial"/>
          <w:sz w:val="24"/>
          <w:szCs w:val="24"/>
        </w:rPr>
        <w:t xml:space="preserve"> brought</w:t>
      </w:r>
      <w:r w:rsidRPr="00C92D2F">
        <w:rPr>
          <w:rFonts w:cs="Arial"/>
          <w:szCs w:val="24"/>
        </w:rPr>
        <w:t xml:space="preserve"> into operation. On this event the Local Public</w:t>
      </w:r>
      <w:r w:rsidRPr="00C92D2F">
        <w:rPr>
          <w:rStyle w:val="Bodytext75pt"/>
          <w:rFonts w:ascii="Arial" w:eastAsiaTheme="minorHAnsi" w:hAnsi="Arial" w:cs="Arial"/>
          <w:sz w:val="24"/>
          <w:szCs w:val="24"/>
        </w:rPr>
        <w:t xml:space="preserve"> Abattoirs</w:t>
      </w:r>
      <w:r w:rsidRPr="00C92D2F">
        <w:rPr>
          <w:rFonts w:cs="Arial"/>
          <w:szCs w:val="24"/>
        </w:rPr>
        <w:t xml:space="preserve"> Act and its regulations became redundant. By that time only one abattoir</w:t>
      </w:r>
      <w:r w:rsidRPr="00C92D2F">
        <w:rPr>
          <w:rStyle w:val="Bodytext75pt"/>
          <w:rFonts w:ascii="Arial" w:eastAsiaTheme="minorHAnsi" w:hAnsi="Arial" w:cs="Arial"/>
          <w:sz w:val="24"/>
          <w:szCs w:val="24"/>
        </w:rPr>
        <w:t xml:space="preserve"> board,</w:t>
      </w:r>
      <w:r w:rsidRPr="00C92D2F">
        <w:rPr>
          <w:rFonts w:cs="Arial"/>
          <w:szCs w:val="24"/>
        </w:rPr>
        <w:t xml:space="preserve"> Port Pirie, was left. Shortly</w:t>
      </w:r>
      <w:r w:rsidRPr="00C92D2F">
        <w:rPr>
          <w:rStyle w:val="Bodytext75pt"/>
          <w:rFonts w:ascii="Arial" w:eastAsiaTheme="minorHAnsi" w:hAnsi="Arial" w:cs="Arial"/>
          <w:sz w:val="24"/>
          <w:szCs w:val="24"/>
        </w:rPr>
        <w:t xml:space="preserve"> afterwards</w:t>
      </w:r>
      <w:r w:rsidRPr="00C92D2F">
        <w:rPr>
          <w:rFonts w:cs="Arial"/>
          <w:szCs w:val="24"/>
        </w:rPr>
        <w:t xml:space="preserve"> the abattoir was sold to the lessee.</w:t>
      </w:r>
    </w:p>
    <w:p w:rsidR="00C92D2F" w:rsidRDefault="00C92D2F" w:rsidP="00C92D2F">
      <w:pPr>
        <w:spacing w:after="0" w:line="276" w:lineRule="auto"/>
        <w:rPr>
          <w:rFonts w:cs="Arial"/>
          <w:szCs w:val="24"/>
        </w:rPr>
      </w:pPr>
    </w:p>
    <w:p w:rsidR="00C92D2F" w:rsidRDefault="00F33976" w:rsidP="00C92D2F">
      <w:pPr>
        <w:spacing w:after="0" w:line="276" w:lineRule="auto"/>
        <w:rPr>
          <w:rFonts w:cs="Arial"/>
          <w:szCs w:val="24"/>
        </w:rPr>
      </w:pPr>
      <w:r w:rsidRPr="00C92D2F">
        <w:rPr>
          <w:rFonts w:cs="Arial"/>
          <w:szCs w:val="24"/>
        </w:rPr>
        <w:t>There are now no abattoirs run by local government, but even if in the future local government</w:t>
      </w:r>
      <w:r w:rsidRPr="00C92D2F">
        <w:rPr>
          <w:rStyle w:val="Bodytext75pt"/>
          <w:rFonts w:ascii="Arial" w:eastAsiaTheme="minorHAnsi" w:hAnsi="Arial" w:cs="Arial"/>
          <w:sz w:val="24"/>
          <w:szCs w:val="24"/>
        </w:rPr>
        <w:t xml:space="preserve"> should</w:t>
      </w:r>
      <w:r w:rsidRPr="00C92D2F">
        <w:rPr>
          <w:rFonts w:cs="Arial"/>
          <w:szCs w:val="24"/>
        </w:rPr>
        <w:t xml:space="preserve"> seek to re</w:t>
      </w:r>
      <w:r w:rsidR="00D612DD" w:rsidRPr="00C92D2F">
        <w:rPr>
          <w:rFonts w:cs="Arial"/>
          <w:szCs w:val="24"/>
        </w:rPr>
        <w:t>-</w:t>
      </w:r>
      <w:r w:rsidRPr="00C92D2F">
        <w:rPr>
          <w:rFonts w:cs="Arial"/>
          <w:szCs w:val="24"/>
        </w:rPr>
        <w:t xml:space="preserve">enter the abattoir business no specific legislation would be required. The Local Public Abattoirs Act 1911 has served its purpose and should be repealed. </w:t>
      </w:r>
    </w:p>
    <w:p w:rsidR="00C92D2F" w:rsidRDefault="00C92D2F" w:rsidP="00C92D2F">
      <w:pPr>
        <w:spacing w:after="0" w:line="276" w:lineRule="auto"/>
        <w:rPr>
          <w:rFonts w:cs="Arial"/>
          <w:szCs w:val="24"/>
        </w:rPr>
      </w:pPr>
    </w:p>
    <w:p w:rsidR="00C92D2F" w:rsidRDefault="00F33976" w:rsidP="00C92D2F">
      <w:pPr>
        <w:spacing w:after="0" w:line="276" w:lineRule="auto"/>
        <w:rPr>
          <w:rFonts w:cs="Arial"/>
          <w:szCs w:val="24"/>
        </w:rPr>
      </w:pPr>
      <w:r w:rsidRPr="00C92D2F">
        <w:rPr>
          <w:rFonts w:cs="Arial"/>
          <w:szCs w:val="24"/>
        </w:rPr>
        <w:t>Clause 1 is formal.</w:t>
      </w:r>
    </w:p>
    <w:p w:rsidR="00C92D2F" w:rsidRDefault="00F33976" w:rsidP="00C92D2F">
      <w:pPr>
        <w:spacing w:after="0" w:line="276" w:lineRule="auto"/>
        <w:rPr>
          <w:rFonts w:cs="Arial"/>
          <w:szCs w:val="24"/>
        </w:rPr>
      </w:pPr>
      <w:r w:rsidRPr="00C92D2F">
        <w:rPr>
          <w:rFonts w:cs="Arial"/>
          <w:szCs w:val="24"/>
        </w:rPr>
        <w:lastRenderedPageBreak/>
        <w:t>Clause 2 repeals the Local Public Abattoirs Act 1911.</w:t>
      </w:r>
    </w:p>
    <w:p w:rsidR="00C92D2F" w:rsidRDefault="00C92D2F" w:rsidP="00C92D2F">
      <w:pPr>
        <w:spacing w:after="0" w:line="276" w:lineRule="auto"/>
        <w:rPr>
          <w:rFonts w:cs="Arial"/>
          <w:szCs w:val="24"/>
        </w:rPr>
      </w:pPr>
    </w:p>
    <w:p w:rsidR="00F33976" w:rsidRPr="00C92D2F" w:rsidRDefault="00F33976" w:rsidP="00C92D2F">
      <w:pPr>
        <w:spacing w:after="0" w:line="276" w:lineRule="auto"/>
        <w:rPr>
          <w:rFonts w:cs="Arial"/>
          <w:szCs w:val="24"/>
        </w:rPr>
      </w:pPr>
      <w:bookmarkStart w:id="2" w:name="_GoBack"/>
      <w:bookmarkEnd w:id="2"/>
      <w:r w:rsidRPr="00C92D2F">
        <w:rPr>
          <w:rFonts w:cs="Arial"/>
          <w:szCs w:val="24"/>
        </w:rPr>
        <w:t>The</w:t>
      </w:r>
      <w:r w:rsidRPr="00C92D2F">
        <w:rPr>
          <w:rStyle w:val="BodytextBold"/>
          <w:rFonts w:ascii="Arial" w:eastAsiaTheme="minorHAnsi" w:hAnsi="Arial" w:cs="Arial"/>
          <w:sz w:val="24"/>
          <w:szCs w:val="24"/>
        </w:rPr>
        <w:t xml:space="preserve"> Hon. PETER DUNN</w:t>
      </w:r>
      <w:r w:rsidRPr="00C92D2F">
        <w:rPr>
          <w:rFonts w:cs="Arial"/>
          <w:szCs w:val="24"/>
        </w:rPr>
        <w:t xml:space="preserve"> secured the adjournment of the debate.</w:t>
      </w:r>
    </w:p>
    <w:p w:rsidR="00562238" w:rsidRPr="00C92D2F" w:rsidRDefault="00562238" w:rsidP="00C92D2F">
      <w:pPr>
        <w:spacing w:line="276" w:lineRule="auto"/>
        <w:rPr>
          <w:rFonts w:cs="Arial"/>
          <w:szCs w:val="24"/>
        </w:rPr>
      </w:pPr>
    </w:p>
    <w:sectPr w:rsidR="00562238" w:rsidRPr="00C92D2F" w:rsidSect="00C92D2F">
      <w:footerReference w:type="default" r:id="rId6"/>
      <w:pgSz w:w="11906" w:h="16838"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3B86" w:rsidRDefault="001B3B86" w:rsidP="00EC4CB1">
      <w:pPr>
        <w:spacing w:after="0"/>
      </w:pPr>
      <w:r>
        <w:separator/>
      </w:r>
    </w:p>
  </w:endnote>
  <w:endnote w:type="continuationSeparator" w:id="1">
    <w:p w:rsidR="001B3B86" w:rsidRDefault="001B3B86" w:rsidP="00EC4CB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CB1" w:rsidRDefault="00EC4CB1" w:rsidP="00EC4CB1">
    <w:pPr>
      <w:pStyle w:val="Footer"/>
      <w:jc w:val="right"/>
      <w:rPr>
        <w:color w:val="548DD4" w:themeColor="text2" w:themeTint="99"/>
      </w:rPr>
    </w:pPr>
    <w:r>
      <w:rPr>
        <w:rFonts w:hint="eastAsia"/>
        <w:noProof/>
        <w:color w:val="548DD4" w:themeColor="text2" w:themeTint="99"/>
      </w:rPr>
      <w:t>History of Agriculture South Australia</w:t>
    </w:r>
  </w:p>
  <w:p w:rsidR="00EC4CB1" w:rsidRDefault="00EC4C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3B86" w:rsidRDefault="001B3B86" w:rsidP="00EC4CB1">
      <w:pPr>
        <w:spacing w:after="0"/>
      </w:pPr>
      <w:r>
        <w:separator/>
      </w:r>
    </w:p>
  </w:footnote>
  <w:footnote w:type="continuationSeparator" w:id="1">
    <w:p w:rsidR="001B3B86" w:rsidRDefault="001B3B86" w:rsidP="00EC4CB1">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33976"/>
    <w:rsid w:val="001B3B86"/>
    <w:rsid w:val="003137F2"/>
    <w:rsid w:val="00344EB5"/>
    <w:rsid w:val="00562238"/>
    <w:rsid w:val="00573D31"/>
    <w:rsid w:val="00617DBB"/>
    <w:rsid w:val="0072134B"/>
    <w:rsid w:val="00A30830"/>
    <w:rsid w:val="00A31526"/>
    <w:rsid w:val="00C771DA"/>
    <w:rsid w:val="00C92D2F"/>
    <w:rsid w:val="00D612DD"/>
    <w:rsid w:val="00EC4CB1"/>
    <w:rsid w:val="00EE2806"/>
    <w:rsid w:val="00F339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D31"/>
    <w:pPr>
      <w:spacing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rsid w:val="00F33976"/>
    <w:rPr>
      <w:rFonts w:ascii="Times New Roman" w:eastAsia="Times New Roman" w:hAnsi="Times New Roman" w:cs="Times New Roman"/>
      <w:sz w:val="18"/>
      <w:szCs w:val="18"/>
      <w:shd w:val="clear" w:color="auto" w:fill="FFFFFF"/>
    </w:rPr>
  </w:style>
  <w:style w:type="character" w:customStyle="1" w:styleId="Bodytext">
    <w:name w:val="Body text_"/>
    <w:basedOn w:val="DefaultParagraphFont"/>
    <w:link w:val="BodyText1"/>
    <w:rsid w:val="00F33976"/>
    <w:rPr>
      <w:rFonts w:ascii="Times New Roman" w:eastAsia="Times New Roman" w:hAnsi="Times New Roman" w:cs="Times New Roman"/>
      <w:sz w:val="17"/>
      <w:szCs w:val="17"/>
      <w:shd w:val="clear" w:color="auto" w:fill="FFFFFF"/>
    </w:rPr>
  </w:style>
  <w:style w:type="character" w:customStyle="1" w:styleId="BodytextItalic">
    <w:name w:val="Body text + Italic"/>
    <w:aliases w:val="Body text + 6.5 pt,Body text + Garamond,7.5 pt,Body text + 4 pt,Body text (8) + 9.5 pt,Heading #2 (2) + 8.5 pt"/>
    <w:basedOn w:val="Bodytext"/>
    <w:rsid w:val="00F33976"/>
    <w:rPr>
      <w:rFonts w:ascii="Times New Roman" w:eastAsia="Times New Roman" w:hAnsi="Times New Roman" w:cs="Times New Roman"/>
      <w:i/>
      <w:iCs/>
      <w:sz w:val="17"/>
      <w:szCs w:val="17"/>
      <w:shd w:val="clear" w:color="auto" w:fill="FFFFFF"/>
    </w:rPr>
  </w:style>
  <w:style w:type="character" w:customStyle="1" w:styleId="BodytextBold">
    <w:name w:val="Body text + Bold"/>
    <w:basedOn w:val="Bodytext"/>
    <w:rsid w:val="00F33976"/>
    <w:rPr>
      <w:rFonts w:ascii="Times New Roman" w:eastAsia="Times New Roman" w:hAnsi="Times New Roman" w:cs="Times New Roman"/>
      <w:b/>
      <w:bCs/>
      <w:sz w:val="17"/>
      <w:szCs w:val="17"/>
      <w:shd w:val="clear" w:color="auto" w:fill="FFFFFF"/>
    </w:rPr>
  </w:style>
  <w:style w:type="character" w:customStyle="1" w:styleId="Bodytext3">
    <w:name w:val="Body text (3)_"/>
    <w:basedOn w:val="DefaultParagraphFont"/>
    <w:link w:val="Bodytext30"/>
    <w:rsid w:val="00F33976"/>
    <w:rPr>
      <w:rFonts w:ascii="Times New Roman" w:eastAsia="Times New Roman" w:hAnsi="Times New Roman" w:cs="Times New Roman"/>
      <w:sz w:val="15"/>
      <w:szCs w:val="15"/>
      <w:shd w:val="clear" w:color="auto" w:fill="FFFFFF"/>
    </w:rPr>
  </w:style>
  <w:style w:type="character" w:customStyle="1" w:styleId="Bodytext385pt">
    <w:name w:val="Body text (3) + 8.5 pt"/>
    <w:basedOn w:val="Bodytext3"/>
    <w:rsid w:val="00F33976"/>
    <w:rPr>
      <w:rFonts w:ascii="Times New Roman" w:eastAsia="Times New Roman" w:hAnsi="Times New Roman" w:cs="Times New Roman"/>
      <w:sz w:val="17"/>
      <w:szCs w:val="17"/>
      <w:shd w:val="clear" w:color="auto" w:fill="FFFFFF"/>
    </w:rPr>
  </w:style>
  <w:style w:type="character" w:customStyle="1" w:styleId="Heading2">
    <w:name w:val="Heading #2_"/>
    <w:basedOn w:val="DefaultParagraphFont"/>
    <w:link w:val="Heading20"/>
    <w:rsid w:val="00F33976"/>
    <w:rPr>
      <w:rFonts w:ascii="Times New Roman" w:eastAsia="Times New Roman" w:hAnsi="Times New Roman" w:cs="Times New Roman"/>
      <w:sz w:val="17"/>
      <w:szCs w:val="17"/>
      <w:shd w:val="clear" w:color="auto" w:fill="FFFFFF"/>
    </w:rPr>
  </w:style>
  <w:style w:type="character" w:customStyle="1" w:styleId="Heading275pt">
    <w:name w:val="Heading #2 + 7.5 pt"/>
    <w:aliases w:val="Not Bold"/>
    <w:basedOn w:val="Heading2"/>
    <w:rsid w:val="00F33976"/>
    <w:rPr>
      <w:rFonts w:ascii="Times New Roman" w:eastAsia="Times New Roman" w:hAnsi="Times New Roman" w:cs="Times New Roman"/>
      <w:b/>
      <w:bCs/>
      <w:sz w:val="15"/>
      <w:szCs w:val="15"/>
      <w:shd w:val="clear" w:color="auto" w:fill="FFFFFF"/>
    </w:rPr>
  </w:style>
  <w:style w:type="character" w:customStyle="1" w:styleId="Bodytext75pt">
    <w:name w:val="Body text + 7.5 pt"/>
    <w:basedOn w:val="Bodytext"/>
    <w:rsid w:val="00F33976"/>
    <w:rPr>
      <w:rFonts w:ascii="Times New Roman" w:eastAsia="Times New Roman" w:hAnsi="Times New Roman" w:cs="Times New Roman"/>
      <w:sz w:val="15"/>
      <w:szCs w:val="15"/>
      <w:shd w:val="clear" w:color="auto" w:fill="FFFFFF"/>
    </w:rPr>
  </w:style>
  <w:style w:type="paragraph" w:customStyle="1" w:styleId="Heading10">
    <w:name w:val="Heading #1"/>
    <w:basedOn w:val="Normal"/>
    <w:link w:val="Heading1"/>
    <w:rsid w:val="00F33976"/>
    <w:pPr>
      <w:shd w:val="clear" w:color="auto" w:fill="FFFFFF"/>
      <w:spacing w:after="0" w:line="0" w:lineRule="atLeast"/>
      <w:outlineLvl w:val="0"/>
    </w:pPr>
    <w:rPr>
      <w:rFonts w:ascii="Times New Roman" w:eastAsia="Times New Roman" w:hAnsi="Times New Roman" w:cs="Times New Roman"/>
      <w:sz w:val="18"/>
      <w:szCs w:val="18"/>
    </w:rPr>
  </w:style>
  <w:style w:type="paragraph" w:customStyle="1" w:styleId="BodyText1">
    <w:name w:val="Body Text1"/>
    <w:basedOn w:val="Normal"/>
    <w:link w:val="Bodytext"/>
    <w:rsid w:val="00F33976"/>
    <w:pPr>
      <w:shd w:val="clear" w:color="auto" w:fill="FFFFFF"/>
      <w:spacing w:after="0" w:line="197" w:lineRule="exact"/>
      <w:ind w:hanging="740"/>
    </w:pPr>
    <w:rPr>
      <w:rFonts w:ascii="Times New Roman" w:eastAsia="Times New Roman" w:hAnsi="Times New Roman" w:cs="Times New Roman"/>
      <w:sz w:val="17"/>
      <w:szCs w:val="17"/>
    </w:rPr>
  </w:style>
  <w:style w:type="paragraph" w:customStyle="1" w:styleId="Bodytext30">
    <w:name w:val="Body text (3)"/>
    <w:basedOn w:val="Normal"/>
    <w:link w:val="Bodytext3"/>
    <w:rsid w:val="00F33976"/>
    <w:pPr>
      <w:shd w:val="clear" w:color="auto" w:fill="FFFFFF"/>
      <w:spacing w:after="0" w:line="379" w:lineRule="exact"/>
    </w:pPr>
    <w:rPr>
      <w:rFonts w:ascii="Times New Roman" w:eastAsia="Times New Roman" w:hAnsi="Times New Roman" w:cs="Times New Roman"/>
      <w:sz w:val="15"/>
      <w:szCs w:val="15"/>
    </w:rPr>
  </w:style>
  <w:style w:type="paragraph" w:customStyle="1" w:styleId="Heading20">
    <w:name w:val="Heading #2"/>
    <w:basedOn w:val="Normal"/>
    <w:link w:val="Heading2"/>
    <w:rsid w:val="00F33976"/>
    <w:pPr>
      <w:shd w:val="clear" w:color="auto" w:fill="FFFFFF"/>
      <w:spacing w:after="0" w:line="0" w:lineRule="atLeast"/>
      <w:outlineLvl w:val="1"/>
    </w:pPr>
    <w:rPr>
      <w:rFonts w:ascii="Times New Roman" w:eastAsia="Times New Roman" w:hAnsi="Times New Roman" w:cs="Times New Roman"/>
      <w:sz w:val="17"/>
      <w:szCs w:val="17"/>
    </w:rPr>
  </w:style>
  <w:style w:type="paragraph" w:styleId="Header">
    <w:name w:val="header"/>
    <w:basedOn w:val="Normal"/>
    <w:link w:val="HeaderChar"/>
    <w:uiPriority w:val="99"/>
    <w:semiHidden/>
    <w:unhideWhenUsed/>
    <w:rsid w:val="00EC4CB1"/>
    <w:pPr>
      <w:tabs>
        <w:tab w:val="center" w:pos="4680"/>
        <w:tab w:val="right" w:pos="9360"/>
      </w:tabs>
      <w:spacing w:after="0"/>
    </w:pPr>
  </w:style>
  <w:style w:type="character" w:customStyle="1" w:styleId="HeaderChar">
    <w:name w:val="Header Char"/>
    <w:basedOn w:val="DefaultParagraphFont"/>
    <w:link w:val="Header"/>
    <w:uiPriority w:val="99"/>
    <w:semiHidden/>
    <w:rsid w:val="00EC4CB1"/>
    <w:rPr>
      <w:rFonts w:ascii="Arial" w:hAnsi="Arial"/>
      <w:sz w:val="24"/>
    </w:rPr>
  </w:style>
  <w:style w:type="paragraph" w:styleId="Footer">
    <w:name w:val="footer"/>
    <w:basedOn w:val="Normal"/>
    <w:link w:val="FooterChar"/>
    <w:uiPriority w:val="99"/>
    <w:semiHidden/>
    <w:unhideWhenUsed/>
    <w:rsid w:val="00EC4CB1"/>
    <w:pPr>
      <w:tabs>
        <w:tab w:val="center" w:pos="4680"/>
        <w:tab w:val="right" w:pos="9360"/>
      </w:tabs>
      <w:spacing w:after="0"/>
    </w:pPr>
  </w:style>
  <w:style w:type="character" w:customStyle="1" w:styleId="FooterChar">
    <w:name w:val="Footer Char"/>
    <w:basedOn w:val="DefaultParagraphFont"/>
    <w:link w:val="Footer"/>
    <w:uiPriority w:val="99"/>
    <w:semiHidden/>
    <w:rsid w:val="00EC4CB1"/>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1253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PIRSA</Company>
  <LinksUpToDate>false</LinksUpToDate>
  <CharactersWithSpaces>2152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 Fuller</dc:creator>
  <cp:keywords/>
  <dc:description/>
  <cp:lastModifiedBy>Don Plowman</cp:lastModifiedBy>
  <cp:revision>9</cp:revision>
  <cp:lastPrinted>2011-07-15T06:51:00Z</cp:lastPrinted>
  <dcterms:created xsi:type="dcterms:W3CDTF">2011-07-15T06:48:00Z</dcterms:created>
  <dcterms:modified xsi:type="dcterms:W3CDTF">2019-12-27T04:50:00Z</dcterms:modified>
</cp:coreProperties>
</file>